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jc w:val="both"/>
        <w:rPr>
          <w:rFonts w:hint="default"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1</w:t>
      </w:r>
      <w:bookmarkStart w:id="2" w:name="_GoBack"/>
      <w:bookmarkEnd w:id="2"/>
    </w:p>
    <w:p>
      <w:pPr>
        <w:ind w:firstLine="160" w:firstLineChars="50"/>
        <w:jc w:val="center"/>
        <w:rPr>
          <w:rFonts w:ascii="仿宋" w:hAnsi="仿宋" w:eastAsia="仿宋"/>
          <w:sz w:val="32"/>
          <w:szCs w:val="32"/>
        </w:rPr>
      </w:pPr>
    </w:p>
    <w:p>
      <w:pPr>
        <w:ind w:firstLine="160" w:firstLineChars="50"/>
        <w:jc w:val="center"/>
        <w:rPr>
          <w:rFonts w:hint="eastAsia"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59264" behindDoc="1" locked="0" layoutInCell="1" allowOverlap="1">
            <wp:simplePos x="0" y="0"/>
            <wp:positionH relativeFrom="page">
              <wp:posOffset>972185</wp:posOffset>
            </wp:positionH>
            <wp:positionV relativeFrom="page">
              <wp:posOffset>2435860</wp:posOffset>
            </wp:positionV>
            <wp:extent cx="5605145" cy="728345"/>
            <wp:effectExtent l="0" t="0" r="0" b="0"/>
            <wp:wrapNone/>
            <wp:docPr id="2" name="图片 9"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TempHead"/>
                    <pic:cNvPicPr>
                      <a:picLocks noChangeAspect="1"/>
                    </pic:cNvPicPr>
                  </pic:nvPicPr>
                  <pic:blipFill>
                    <a:blip r:embed="rId15">
                      <a:lum bright="100000"/>
                    </a:blip>
                    <a:stretch>
                      <a:fillRect/>
                    </a:stretch>
                  </pic:blipFill>
                  <pic:spPr>
                    <a:xfrm>
                      <a:off x="0" y="0"/>
                      <a:ext cx="5605145" cy="728345"/>
                    </a:xfrm>
                    <a:prstGeom prst="rect">
                      <a:avLst/>
                    </a:prstGeom>
                    <a:noFill/>
                    <a:ln>
                      <a:noFill/>
                    </a:ln>
                  </pic:spPr>
                </pic:pic>
              </a:graphicData>
            </a:graphic>
          </wp:anchor>
        </w:drawing>
      </w:r>
    </w:p>
    <w:p>
      <w:pPr>
        <w:ind w:firstLine="160" w:firstLineChars="50"/>
        <w:jc w:val="cente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140" w:firstLineChars="50"/>
        <w:jc w:val="center"/>
        <w:textAlignment w:val="auto"/>
        <w:outlineLvl w:val="9"/>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sz w:val="28"/>
          <w:szCs w:val="28"/>
        </w:rPr>
      </w:pPr>
    </w:p>
    <w:p>
      <w:pPr>
        <w:jc w:val="center"/>
        <w:rPr>
          <w:rFonts w:hint="eastAsia" w:ascii="仿宋" w:hAnsi="仿宋" w:eastAsia="仿宋"/>
          <w:sz w:val="32"/>
          <w:szCs w:val="32"/>
          <w:lang w:eastAsia="zh-CN"/>
        </w:rPr>
      </w:pPr>
      <w:bookmarkStart w:id="0" w:name="发文字号"/>
      <w:r>
        <w:rPr>
          <w:rFonts w:hint="eastAsia" w:ascii="仿宋" w:hAnsi="仿宋" w:eastAsia="仿宋"/>
          <w:sz w:val="32"/>
          <w:szCs w:val="32"/>
          <w:lang w:eastAsia="zh-CN"/>
        </w:rPr>
        <w:t>哈工信规〔2019〕8号</w:t>
      </w:r>
      <w:bookmarkEnd w:id="0"/>
    </w:p>
    <w:p>
      <w:pPr>
        <w:rPr>
          <w:rFonts w:hint="eastAsia" w:ascii="宋体" w:hAnsi="宋体" w:eastAsia="宋体" w:cs="宋体"/>
          <w:sz w:val="10"/>
          <w:szCs w:val="10"/>
          <w:lang w:eastAsia="zh-CN"/>
        </w:rPr>
      </w:pPr>
      <w:r>
        <w:rPr>
          <w:rFonts w:hint="eastAsia" w:ascii="宋体" w:hAnsi="宋体" w:eastAsia="宋体" w:cs="宋体"/>
          <w:sz w:val="10"/>
          <w:szCs w:val="10"/>
          <w:lang w:eastAsia="zh-CN"/>
        </w:rPr>
        <w:drawing>
          <wp:anchor distT="0" distB="0" distL="114300" distR="114300" simplePos="0" relativeHeight="251658240" behindDoc="1" locked="0" layoutInCell="1" allowOverlap="1">
            <wp:simplePos x="0" y="0"/>
            <wp:positionH relativeFrom="page">
              <wp:posOffset>929640</wp:posOffset>
            </wp:positionH>
            <wp:positionV relativeFrom="page">
              <wp:posOffset>4207510</wp:posOffset>
            </wp:positionV>
            <wp:extent cx="5610225" cy="24765"/>
            <wp:effectExtent l="0" t="0" r="9525" b="3810"/>
            <wp:wrapNone/>
            <wp:docPr id="1" name="图片 8"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TempHead"/>
                    <pic:cNvPicPr>
                      <a:picLocks noChangeAspect="1"/>
                    </pic:cNvPicPr>
                  </pic:nvPicPr>
                  <pic:blipFill>
                    <a:blip r:embed="rId16">
                      <a:lum bright="100000"/>
                    </a:blip>
                    <a:stretch>
                      <a:fillRect/>
                    </a:stretch>
                  </pic:blipFill>
                  <pic:spPr>
                    <a:xfrm>
                      <a:off x="0" y="0"/>
                      <a:ext cx="5610225" cy="24765"/>
                    </a:xfrm>
                    <a:prstGeom prst="rect">
                      <a:avLst/>
                    </a:prstGeom>
                    <a:noFill/>
                    <a:ln>
                      <a:noFill/>
                    </a:ln>
                  </pic:spPr>
                </pic:pic>
              </a:graphicData>
            </a:graphic>
          </wp:anchor>
        </w:drawing>
      </w:r>
    </w:p>
    <w:p>
      <w:pPr>
        <w:spacing w:line="240" w:lineRule="auto"/>
        <w:rPr>
          <w:rFonts w:hint="eastAsia" w:ascii="仿宋_GB231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关于印发《哈尔滨市企业技术中心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认定管理办法》的通知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lang w:val="en-US" w:eastAsia="zh-CN"/>
        </w:rPr>
      </w:pPr>
      <w:r>
        <w:rPr>
          <w:rFonts w:hint="eastAsia" w:ascii="仿宋" w:hAnsi="仿宋" w:eastAsia="仿宋" w:cs="仿宋"/>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各区、县（市）工信主管部门，各有关单位：</w:t>
      </w:r>
      <w:r>
        <w:rPr>
          <w:rFonts w:hint="eastAsia" w:ascii="仿宋_GB2312" w:hAnsi="仿宋_GB2312" w:eastAsia="仿宋_GB2312" w:cs="仿宋_GB2312"/>
          <w:color w:val="0000FF"/>
          <w:spacing w:val="-9"/>
          <w:sz w:val="32"/>
          <w:szCs w:val="32"/>
        </w:rPr>
        <w:t xml:space="preserve">    </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修订完成了《哈尔滨市企业技术中心认定管理办法》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现予发布，自发布之日起实施。《哈尔滨市企业技术中心认定</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(哈工信规〔201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〕3号)同时废止。</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哈尔滨市工业和信息化</w:t>
      </w:r>
      <w:r>
        <w:rPr>
          <w:rFonts w:hint="eastAsia" w:ascii="仿宋_GB2312" w:hAnsi="仿宋_GB2312" w:eastAsia="仿宋_GB2312" w:cs="仿宋_GB2312"/>
          <w:sz w:val="32"/>
          <w:szCs w:val="32"/>
          <w:lang w:eastAsia="zh-CN"/>
        </w:rPr>
        <w:t>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方正小标宋简体" w:hAnsi="宋体" w:eastAsia="方正小标宋简体" w:cs="宋体"/>
          <w:bCs/>
          <w:color w:val="auto"/>
          <w:kern w:val="0"/>
          <w:sz w:val="32"/>
          <w:szCs w:val="32"/>
        </w:rPr>
        <w:sectPr>
          <w:headerReference r:id="rId3" w:type="first"/>
          <w:footerReference r:id="rId6" w:type="first"/>
          <w:footerReference r:id="rId4" w:type="default"/>
          <w:footerReference r:id="rId5" w:type="even"/>
          <w:pgSz w:w="11906" w:h="16838"/>
          <w:pgMar w:top="2098" w:right="1531" w:bottom="1985" w:left="1531" w:header="851" w:footer="992" w:gutter="0"/>
          <w:pgBorders>
            <w:top w:val="none" w:sz="0" w:space="0"/>
            <w:left w:val="none" w:sz="0" w:space="0"/>
            <w:bottom w:val="none" w:sz="0" w:space="0"/>
            <w:right w:val="none" w:sz="0" w:space="0"/>
          </w:pgBorders>
          <w:cols w:space="720" w:num="1"/>
          <w:titlePg/>
          <w:docGrid w:type="lines" w:linePitch="289" w:charSpace="0"/>
        </w:sectPr>
      </w:pP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方正小标宋简体" w:hAnsi="宋体" w:eastAsia="方正小标宋简体" w:cs="宋体"/>
          <w:bCs/>
          <w:color w:val="auto"/>
          <w:kern w:val="0"/>
          <w:sz w:val="44"/>
          <w:szCs w:val="44"/>
        </w:rPr>
      </w:pP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bCs/>
          <w:color w:val="auto"/>
          <w:kern w:val="0"/>
          <w:sz w:val="44"/>
          <w:szCs w:val="44"/>
        </w:rPr>
        <w:t>哈尔滨市企业技术中心认定管理办法</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黑体" w:hAnsi="黑体" w:eastAsia="黑体" w:cs="仿宋_GB2312"/>
          <w:color w:val="auto"/>
          <w:kern w:val="0"/>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第一章 总则</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cs="仿宋_GB2312"/>
          <w:b/>
          <w:bCs/>
          <w:color w:val="auto"/>
          <w:kern w:val="0"/>
          <w:sz w:val="32"/>
          <w:szCs w:val="32"/>
        </w:rPr>
        <w:t xml:space="preserve">    </w:t>
      </w: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pacing w:val="-9"/>
          <w:sz w:val="32"/>
          <w:szCs w:val="32"/>
        </w:rPr>
        <w:t>为深入实施创新驱动发展战略，贯彻落实市委、市政府关于推动企业自主创新要求，强化企业技术创新主体地位，支持企业增强技术创新能力，规范哈尔滨市企业技术中心管理，按照《</w:t>
      </w:r>
      <w:r>
        <w:rPr>
          <w:rFonts w:hint="eastAsia" w:ascii="仿宋_GB2312" w:hAnsi="仿宋_GB2312" w:eastAsia="仿宋_GB2312" w:cs="仿宋_GB2312"/>
          <w:color w:val="auto"/>
          <w:sz w:val="32"/>
          <w:szCs w:val="32"/>
        </w:rPr>
        <w:t>国家企业技术中心认定管理办法</w:t>
      </w:r>
      <w:r>
        <w:rPr>
          <w:rFonts w:hint="eastAsia" w:ascii="仿宋_GB2312" w:hAnsi="仿宋_GB2312" w:eastAsia="仿宋_GB2312" w:cs="仿宋_GB2312"/>
          <w:color w:val="auto"/>
          <w:spacing w:val="-9"/>
          <w:sz w:val="32"/>
          <w:szCs w:val="32"/>
        </w:rPr>
        <w:t>》和《黑龙江省企业技术中心认定管理实施细则》，结合我市实际，制定本办法。</w:t>
      </w:r>
    </w:p>
    <w:p>
      <w:pPr>
        <w:keepNext w:val="0"/>
        <w:keepLines w:val="0"/>
        <w:pageBreakBefore w:val="0"/>
        <w:kinsoku/>
        <w:wordWrap/>
        <w:overflowPunct/>
        <w:topLinePunct w:val="0"/>
        <w:autoSpaceDE/>
        <w:autoSpaceDN/>
        <w:bidi w:val="0"/>
        <w:adjustRightInd/>
        <w:spacing w:line="600" w:lineRule="exact"/>
        <w:ind w:firstLine="64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第二条  </w:t>
      </w:r>
      <w:r>
        <w:rPr>
          <w:rFonts w:hint="eastAsia" w:ascii="仿宋_GB2312" w:hAnsi="仿宋_GB2312" w:eastAsia="仿宋_GB2312" w:cs="仿宋_GB2312"/>
          <w:color w:val="auto"/>
          <w:sz w:val="32"/>
          <w:szCs w:val="32"/>
        </w:rPr>
        <w:t>企业技术中心是指企业根据市场竞争需要设立的技术研发与创新机构，负责制定企业技术创新规划、开展技术研发、创造运用知识产权、建立技术标准体系、整合信息资源、开展产学研合作、培养创新人才。</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9"/>
          <w:sz w:val="32"/>
          <w:szCs w:val="32"/>
        </w:rPr>
        <w:t xml:space="preserve">    第三条  </w:t>
      </w:r>
      <w:r>
        <w:rPr>
          <w:rFonts w:hint="eastAsia" w:ascii="仿宋_GB2312" w:hAnsi="仿宋_GB2312" w:eastAsia="仿宋_GB2312" w:cs="仿宋_GB2312"/>
          <w:color w:val="auto"/>
          <w:spacing w:val="-9"/>
          <w:sz w:val="32"/>
          <w:szCs w:val="32"/>
        </w:rPr>
        <w:t>为推进企业技术中心建设，确立企业在自主创新中的主体地位</w:t>
      </w:r>
      <w:r>
        <w:rPr>
          <w:rFonts w:hint="eastAsia" w:ascii="仿宋_GB2312" w:hAnsi="仿宋_GB2312" w:eastAsia="仿宋_GB2312" w:cs="仿宋_GB2312"/>
          <w:color w:val="auto"/>
          <w:sz w:val="32"/>
          <w:szCs w:val="32"/>
        </w:rPr>
        <w:t>，对技术创新能力强、创新机制好、引领示范作用大、符合条件的企业技术中心予以认定，引导企业不断提高技术创新能力和水平。</w:t>
      </w:r>
    </w:p>
    <w:p>
      <w:pPr>
        <w:keepNext w:val="0"/>
        <w:keepLines w:val="0"/>
        <w:pageBreakBefore w:val="0"/>
        <w:numPr>
          <w:ilvl w:val="0"/>
          <w:numId w:val="1"/>
        </w:numPr>
        <w:kinsoku/>
        <w:wordWrap/>
        <w:overflowPunct/>
        <w:topLinePunct w:val="0"/>
        <w:autoSpaceDE/>
        <w:autoSpaceDN/>
        <w:bidi w:val="0"/>
        <w:adjustRightInd/>
        <w:spacing w:line="600" w:lineRule="exact"/>
        <w:ind w:firstLine="57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哈尔滨市工业和信息化</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rPr>
        <w:t>（以下简称市工信</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rPr>
        <w:t>）负责哈尔滨市企业技术中心（以下简称市企业技术中心）的建设指导、认定和评价工作。</w:t>
      </w:r>
      <w:r>
        <w:rPr>
          <w:rFonts w:hint="eastAsia" w:ascii="仿宋_GB2312" w:hAnsi="仿宋_GB2312" w:eastAsia="仿宋_GB2312" w:cs="仿宋_GB2312"/>
          <w:color w:val="auto"/>
          <w:kern w:val="0"/>
          <w:sz w:val="32"/>
          <w:szCs w:val="32"/>
          <w:highlight w:val="none"/>
        </w:rPr>
        <w:t>各区、县（市）工信主管部门负责各级企业技术中心的培育和日常管理等工作。</w:t>
      </w:r>
    </w:p>
    <w:p>
      <w:pPr>
        <w:keepNext w:val="0"/>
        <w:keepLines w:val="0"/>
        <w:pageBreakBefore w:val="0"/>
        <w:kinsoku/>
        <w:wordWrap/>
        <w:overflowPunct/>
        <w:topLinePunct w:val="0"/>
        <w:autoSpaceDE/>
        <w:autoSpaceDN/>
        <w:bidi w:val="0"/>
        <w:adjustRightInd/>
        <w:spacing w:line="600" w:lineRule="exact"/>
        <w:ind w:left="570"/>
        <w:textAlignment w:val="auto"/>
        <w:rPr>
          <w:rFonts w:hint="eastAsia" w:ascii="仿宋_GB2312" w:hAnsi="仿宋_GB2312" w:cs="仿宋_GB2312"/>
          <w:color w:val="auto"/>
          <w:kern w:val="0"/>
          <w:sz w:val="32"/>
          <w:szCs w:val="32"/>
        </w:rPr>
        <w:sectPr>
          <w:footerReference r:id="rId7" w:type="default"/>
          <w:footerReference r:id="rId8" w:type="even"/>
          <w:pgSz w:w="11906" w:h="16838"/>
          <w:pgMar w:top="2098" w:right="1531" w:bottom="1985" w:left="1531" w:header="851" w:footer="992" w:gutter="0"/>
          <w:pgBorders>
            <w:top w:val="none" w:sz="0" w:space="0"/>
            <w:left w:val="none" w:sz="0" w:space="0"/>
            <w:bottom w:val="none" w:sz="0" w:space="0"/>
            <w:right w:val="none" w:sz="0" w:space="0"/>
          </w:pgBorders>
          <w:cols w:space="720" w:num="1"/>
          <w:titlePg/>
          <w:docGrid w:type="lines" w:linePitch="289" w:charSpace="0"/>
        </w:sectPr>
      </w:pPr>
    </w:p>
    <w:p>
      <w:pPr>
        <w:keepNext w:val="0"/>
        <w:keepLines w:val="0"/>
        <w:pageBreakBefore w:val="0"/>
        <w:kinsoku/>
        <w:wordWrap/>
        <w:overflowPunct/>
        <w:topLinePunct w:val="0"/>
        <w:autoSpaceDE/>
        <w:autoSpaceDN/>
        <w:bidi w:val="0"/>
        <w:adjustRightInd/>
        <w:spacing w:line="600" w:lineRule="exact"/>
        <w:ind w:left="570"/>
        <w:textAlignment w:val="auto"/>
        <w:rPr>
          <w:rFonts w:hint="eastAsia" w:ascii="仿宋_GB2312" w:hAnsi="仿宋_GB2312" w:cs="仿宋_GB2312"/>
          <w:color w:val="auto"/>
          <w:kern w:val="0"/>
          <w:sz w:val="32"/>
          <w:szCs w:val="32"/>
        </w:rPr>
      </w:pPr>
    </w:p>
    <w:p>
      <w:pPr>
        <w:keepNext w:val="0"/>
        <w:keepLines w:val="0"/>
        <w:pageBreakBefore w:val="0"/>
        <w:kinsoku/>
        <w:wordWrap/>
        <w:overflowPunct/>
        <w:topLinePunct w:val="0"/>
        <w:autoSpaceDE/>
        <w:autoSpaceDN/>
        <w:bidi w:val="0"/>
        <w:adjustRightInd/>
        <w:snapToGrid w:val="0"/>
        <w:spacing w:line="600" w:lineRule="exact"/>
        <w:textAlignment w:val="auto"/>
        <w:rPr>
          <w:rFonts w:hint="eastAsia" w:ascii="黑体" w:hAnsi="黑体" w:eastAsia="黑体" w:cs="仿宋_GB2312"/>
          <w:color w:val="auto"/>
          <w:kern w:val="0"/>
          <w:sz w:val="32"/>
          <w:szCs w:val="32"/>
        </w:rPr>
      </w:pPr>
      <w:r>
        <w:rPr>
          <w:rFonts w:hint="eastAsia" w:ascii="仿宋_GB2312" w:hAnsi="仿宋_GB2312" w:cs="仿宋_GB2312"/>
          <w:b/>
          <w:color w:val="auto"/>
          <w:kern w:val="0"/>
          <w:sz w:val="32"/>
          <w:szCs w:val="32"/>
        </w:rPr>
        <w:t xml:space="preserve">                  </w:t>
      </w:r>
      <w:r>
        <w:rPr>
          <w:rFonts w:hint="eastAsia" w:ascii="黑体" w:hAnsi="黑体" w:eastAsia="黑体" w:cs="仿宋_GB2312"/>
          <w:color w:val="auto"/>
          <w:kern w:val="0"/>
          <w:sz w:val="32"/>
          <w:szCs w:val="32"/>
        </w:rPr>
        <w:t>第二章  申请认定</w:t>
      </w:r>
    </w:p>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第五条  </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spacing w:val="-9"/>
          <w:sz w:val="32"/>
          <w:szCs w:val="32"/>
        </w:rPr>
        <w:t>企业技术中心原则上每年认定一次，受理时间以市工信</w:t>
      </w:r>
      <w:r>
        <w:rPr>
          <w:rFonts w:hint="eastAsia" w:ascii="仿宋_GB2312" w:hAnsi="仿宋_GB2312" w:eastAsia="仿宋_GB2312" w:cs="仿宋_GB2312"/>
          <w:color w:val="auto"/>
          <w:spacing w:val="-9"/>
          <w:sz w:val="32"/>
          <w:szCs w:val="32"/>
          <w:lang w:val="en-US" w:eastAsia="zh-CN"/>
        </w:rPr>
        <w:t>局</w:t>
      </w:r>
      <w:r>
        <w:rPr>
          <w:rFonts w:hint="eastAsia" w:ascii="仿宋_GB2312" w:hAnsi="仿宋_GB2312" w:eastAsia="仿宋_GB2312" w:cs="仿宋_GB2312"/>
          <w:color w:val="auto"/>
          <w:spacing w:val="-9"/>
          <w:sz w:val="32"/>
          <w:szCs w:val="32"/>
        </w:rPr>
        <w:t>通知为准。</w:t>
      </w:r>
    </w:p>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六</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市企业技术中心应具备以下基本条件：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企业在</w:t>
      </w:r>
      <w:r>
        <w:rPr>
          <w:rFonts w:hint="eastAsia" w:ascii="仿宋_GB2312" w:hAnsi="仿宋_GB2312" w:eastAsia="仿宋_GB2312" w:cs="仿宋_GB2312"/>
          <w:color w:val="auto"/>
          <w:kern w:val="0"/>
          <w:sz w:val="32"/>
          <w:szCs w:val="32"/>
        </w:rPr>
        <w:t>哈尔滨市行政区域内</w:t>
      </w:r>
      <w:r>
        <w:rPr>
          <w:rFonts w:hint="eastAsia" w:ascii="仿宋_GB2312" w:hAnsi="仿宋_GB2312" w:eastAsia="仿宋_GB2312" w:cs="仿宋_GB2312"/>
          <w:color w:val="auto"/>
          <w:kern w:val="0"/>
          <w:sz w:val="32"/>
          <w:szCs w:val="32"/>
          <w:lang w:eastAsia="zh-CN"/>
        </w:rPr>
        <w:t>登记注册，</w:t>
      </w:r>
      <w:r>
        <w:rPr>
          <w:rFonts w:hint="eastAsia" w:ascii="仿宋_GB2312" w:hAnsi="仿宋_GB2312" w:eastAsia="仿宋_GB2312" w:cs="仿宋_GB2312"/>
          <w:color w:val="auto"/>
          <w:kern w:val="0"/>
          <w:sz w:val="32"/>
          <w:szCs w:val="32"/>
        </w:rPr>
        <w:t>在行业中</w:t>
      </w:r>
      <w:r>
        <w:rPr>
          <w:rFonts w:hint="eastAsia" w:ascii="仿宋_GB2312" w:hAnsi="仿宋_GB2312" w:eastAsia="仿宋_GB2312" w:cs="仿宋_GB2312"/>
          <w:color w:val="auto"/>
          <w:kern w:val="0"/>
          <w:sz w:val="32"/>
          <w:szCs w:val="32"/>
          <w:lang w:eastAsia="zh-CN"/>
        </w:rPr>
        <w:t>具有较显著的</w:t>
      </w:r>
      <w:r>
        <w:rPr>
          <w:rFonts w:hint="eastAsia" w:ascii="仿宋_GB2312" w:hAnsi="仿宋_GB2312" w:eastAsia="仿宋_GB2312" w:cs="仿宋_GB2312"/>
          <w:color w:val="auto"/>
          <w:kern w:val="0"/>
          <w:sz w:val="32"/>
          <w:szCs w:val="32"/>
        </w:rPr>
        <w:t>发展和竞争优势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具有较好的经济规模基础，</w:t>
      </w:r>
      <w:r>
        <w:rPr>
          <w:rFonts w:hint="eastAsia" w:ascii="仿宋_GB2312" w:hAnsi="仿宋_GB2312" w:eastAsia="仿宋_GB2312" w:cs="仿宋_GB2312"/>
          <w:color w:val="auto"/>
          <w:kern w:val="0"/>
          <w:sz w:val="32"/>
          <w:szCs w:val="32"/>
          <w:lang w:eastAsia="zh-CN"/>
        </w:rPr>
        <w:t>年度主营业务收入</w:t>
      </w:r>
      <w:r>
        <w:rPr>
          <w:rFonts w:hint="eastAsia" w:ascii="仿宋_GB2312" w:hAnsi="仿宋_GB2312" w:eastAsia="仿宋_GB2312" w:cs="仿宋_GB2312"/>
          <w:color w:val="auto"/>
          <w:kern w:val="0"/>
          <w:sz w:val="32"/>
          <w:szCs w:val="32"/>
        </w:rPr>
        <w:t>原则上不低于2000万元。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（二）企业具有较好的技术创新机制，企业技术中心组织体系健全，创新效率和创新效益显著。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有较高的研究开发投入，</w:t>
      </w:r>
      <w:r>
        <w:rPr>
          <w:rFonts w:hint="eastAsia" w:ascii="仿宋_GB2312" w:hAnsi="仿宋_GB2312" w:eastAsia="仿宋_GB2312" w:cs="仿宋_GB2312"/>
          <w:color w:val="auto"/>
          <w:sz w:val="32"/>
          <w:szCs w:val="32"/>
          <w:lang w:eastAsia="zh-CN"/>
        </w:rPr>
        <w:t>年度研究与试验发展经费</w:t>
      </w:r>
      <w:r>
        <w:rPr>
          <w:rFonts w:hint="eastAsia" w:ascii="仿宋_GB2312" w:hAnsi="仿宋_GB2312" w:eastAsia="仿宋_GB2312" w:cs="仿宋_GB2312"/>
          <w:color w:val="auto"/>
          <w:sz w:val="32"/>
          <w:szCs w:val="32"/>
        </w:rPr>
        <w:t>支出额与</w:t>
      </w:r>
      <w:r>
        <w:rPr>
          <w:rFonts w:hint="eastAsia" w:ascii="仿宋_GB2312" w:hAnsi="仿宋_GB2312" w:eastAsia="仿宋_GB2312" w:cs="仿宋_GB2312"/>
          <w:b w:val="0"/>
          <w:i w:val="0"/>
          <w:snapToGrid/>
          <w:color w:val="auto"/>
          <w:sz w:val="32"/>
          <w:szCs w:val="32"/>
          <w:shd w:val="clear" w:color="auto" w:fill="FFFFFF"/>
          <w:lang w:val="en-US" w:eastAsia="zh-CN"/>
        </w:rPr>
        <w:t>主营业务收入之比不低于2%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i w:val="0"/>
          <w:snapToGrid/>
          <w:color w:val="auto"/>
          <w:sz w:val="32"/>
          <w:szCs w:val="32"/>
          <w:shd w:val="clear" w:color="auto" w:fill="FFFFFF"/>
          <w:lang w:val="en-US" w:eastAsia="zh-CN"/>
        </w:rPr>
        <w:t>拥有技术水平高、实践经验丰富的技术研发团队，研究与</w:t>
      </w:r>
      <w:r>
        <w:rPr>
          <w:rFonts w:hint="eastAsia" w:ascii="仿宋_GB2312" w:hAnsi="仿宋_GB2312" w:eastAsia="仿宋_GB2312" w:cs="仿宋_GB2312"/>
          <w:color w:val="auto"/>
          <w:sz w:val="32"/>
          <w:szCs w:val="32"/>
          <w:lang w:eastAsia="zh-CN"/>
        </w:rPr>
        <w:t>试</w:t>
      </w:r>
      <w:r>
        <w:rPr>
          <w:rFonts w:hint="eastAsia" w:ascii="仿宋_GB2312" w:hAnsi="仿宋_GB2312" w:eastAsia="仿宋_GB2312" w:cs="仿宋_GB2312"/>
          <w:b w:val="0"/>
          <w:i w:val="0"/>
          <w:snapToGrid/>
          <w:color w:val="auto"/>
          <w:sz w:val="32"/>
          <w:szCs w:val="32"/>
          <w:shd w:val="clear" w:color="auto" w:fill="FFFFFF"/>
          <w:lang w:val="en-US" w:eastAsia="zh-CN"/>
        </w:rPr>
        <w:t>验发展人员数与企业职工总数之比不低于6%</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rPr>
        <w:t>具有</w:t>
      </w:r>
      <w:r>
        <w:rPr>
          <w:rFonts w:hint="eastAsia" w:ascii="仿宋_GB2312" w:hAnsi="仿宋_GB2312" w:eastAsia="仿宋_GB2312" w:cs="仿宋_GB2312"/>
          <w:color w:val="auto"/>
          <w:kern w:val="0"/>
          <w:sz w:val="32"/>
          <w:szCs w:val="32"/>
          <w:lang w:eastAsia="zh-CN"/>
        </w:rPr>
        <w:t>比</w:t>
      </w:r>
      <w:r>
        <w:rPr>
          <w:rFonts w:hint="eastAsia" w:ascii="仿宋_GB2312" w:hAnsi="仿宋_GB2312" w:eastAsia="仿宋_GB2312" w:cs="仿宋_GB2312"/>
          <w:color w:val="auto"/>
          <w:kern w:val="0"/>
          <w:sz w:val="32"/>
          <w:szCs w:val="32"/>
        </w:rPr>
        <w:t>较完善的</w:t>
      </w:r>
      <w:r>
        <w:rPr>
          <w:rFonts w:hint="eastAsia" w:ascii="仿宋_GB2312" w:hAnsi="仿宋_GB2312" w:eastAsia="仿宋_GB2312" w:cs="仿宋_GB2312"/>
          <w:color w:val="auto"/>
          <w:kern w:val="0"/>
          <w:sz w:val="32"/>
          <w:szCs w:val="32"/>
          <w:lang w:eastAsia="zh-CN"/>
        </w:rPr>
        <w:t>研究、开发、实验条件，</w:t>
      </w:r>
      <w:r>
        <w:rPr>
          <w:rFonts w:hint="eastAsia" w:ascii="仿宋_GB2312" w:hAnsi="仿宋_GB2312" w:eastAsia="仿宋_GB2312" w:cs="仿宋_GB2312"/>
          <w:color w:val="auto"/>
          <w:kern w:val="0"/>
          <w:sz w:val="32"/>
          <w:szCs w:val="32"/>
        </w:rPr>
        <w:t>技术</w:t>
      </w:r>
      <w:r>
        <w:rPr>
          <w:rFonts w:hint="eastAsia" w:ascii="仿宋_GB2312" w:hAnsi="仿宋_GB2312" w:eastAsia="仿宋_GB2312" w:cs="仿宋_GB2312"/>
          <w:color w:val="auto"/>
          <w:kern w:val="0"/>
          <w:sz w:val="32"/>
          <w:szCs w:val="32"/>
          <w:lang w:eastAsia="zh-CN"/>
        </w:rPr>
        <w:t>开发</w:t>
      </w:r>
      <w:r>
        <w:rPr>
          <w:rFonts w:hint="eastAsia" w:ascii="仿宋_GB2312" w:hAnsi="仿宋_GB2312" w:eastAsia="仿宋_GB2312" w:cs="仿宋_GB2312"/>
          <w:color w:val="auto"/>
          <w:kern w:val="0"/>
          <w:sz w:val="32"/>
          <w:szCs w:val="32"/>
        </w:rPr>
        <w:t>仪器设备原值不低于</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00万元。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（五）已建立企业技术中心并正常运行1年以上。</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spacing w:val="-9"/>
          <w:sz w:val="32"/>
          <w:szCs w:val="32"/>
        </w:rPr>
        <w:t>企业在申请受理截止日期前两年内无走私或涉税违法等情况，征信记录良好，无司法、行政机关认定的其他严重违法失信行为。</w:t>
      </w:r>
    </w:p>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pacing w:val="-9"/>
          <w:kern w:val="0"/>
          <w:sz w:val="32"/>
          <w:szCs w:val="32"/>
        </w:rPr>
      </w:pPr>
      <w:r>
        <w:rPr>
          <w:rFonts w:hint="eastAsia" w:ascii="仿宋_GB2312" w:hAnsi="仿宋_GB2312" w:eastAsia="仿宋_GB2312" w:cs="仿宋_GB2312"/>
          <w:b/>
          <w:bCs/>
          <w:color w:val="auto"/>
          <w:kern w:val="0"/>
          <w:sz w:val="32"/>
          <w:szCs w:val="32"/>
        </w:rPr>
        <w:t xml:space="preserve">第七条  </w:t>
      </w:r>
      <w:r>
        <w:rPr>
          <w:rFonts w:hint="eastAsia" w:ascii="仿宋_GB2312" w:hAnsi="仿宋_GB2312" w:eastAsia="仿宋_GB2312" w:cs="仿宋_GB2312"/>
          <w:color w:val="auto"/>
          <w:spacing w:val="-9"/>
          <w:kern w:val="0"/>
          <w:sz w:val="32"/>
          <w:szCs w:val="32"/>
        </w:rPr>
        <w:t>认定程序：</w:t>
      </w:r>
    </w:p>
    <w:p>
      <w:pPr>
        <w:keepNext w:val="0"/>
        <w:keepLines w:val="0"/>
        <w:pageBreakBefore w:val="0"/>
        <w:kinsoku/>
        <w:wordWrap/>
        <w:overflowPunct/>
        <w:topLinePunct w:val="0"/>
        <w:autoSpaceDE/>
        <w:autoSpaceDN/>
        <w:bidi w:val="0"/>
        <w:adjustRightInd/>
        <w:snapToGrid w:val="0"/>
        <w:spacing w:line="600" w:lineRule="exact"/>
        <w:ind w:firstLine="604" w:firstLineChars="200"/>
        <w:textAlignment w:val="auto"/>
        <w:rPr>
          <w:rFonts w:hint="eastAsia" w:ascii="仿宋_GB2312" w:hAnsi="仿宋_GB2312" w:eastAsia="仿宋_GB2312" w:cs="仿宋_GB2312"/>
          <w:color w:val="auto"/>
          <w:spacing w:val="-9"/>
          <w:kern w:val="0"/>
          <w:sz w:val="32"/>
          <w:szCs w:val="32"/>
          <w:highlight w:val="none"/>
        </w:rPr>
      </w:pPr>
      <w:r>
        <w:rPr>
          <w:rFonts w:hint="eastAsia" w:ascii="仿宋_GB2312" w:hAnsi="仿宋_GB2312" w:eastAsia="仿宋_GB2312" w:cs="仿宋_GB2312"/>
          <w:color w:val="auto"/>
          <w:spacing w:val="-9"/>
          <w:kern w:val="0"/>
          <w:sz w:val="32"/>
          <w:szCs w:val="32"/>
          <w:highlight w:val="none"/>
        </w:rPr>
        <w:t>1.申请认定市企业技术中心的企业，</w:t>
      </w:r>
      <w:r>
        <w:rPr>
          <w:rFonts w:hint="eastAsia" w:ascii="仿宋_GB2312" w:hAnsi="仿宋_GB2312" w:eastAsia="仿宋_GB2312" w:cs="仿宋_GB2312"/>
          <w:color w:val="auto"/>
          <w:spacing w:val="-9"/>
          <w:sz w:val="32"/>
          <w:szCs w:val="32"/>
          <w:highlight w:val="none"/>
        </w:rPr>
        <w:t>按照本办法和</w:t>
      </w:r>
      <w:r>
        <w:rPr>
          <w:rFonts w:hint="eastAsia" w:ascii="仿宋_GB2312" w:hAnsi="仿宋_GB2312" w:eastAsia="仿宋_GB2312" w:cs="仿宋_GB2312"/>
          <w:color w:val="auto"/>
          <w:spacing w:val="-9"/>
          <w:sz w:val="32"/>
          <w:szCs w:val="32"/>
          <w:highlight w:val="none"/>
          <w:lang w:eastAsia="zh-CN"/>
        </w:rPr>
        <w:t>当年</w:t>
      </w:r>
      <w:r>
        <w:rPr>
          <w:rFonts w:hint="eastAsia" w:ascii="仿宋_GB2312" w:hAnsi="仿宋_GB2312" w:eastAsia="仿宋_GB2312" w:cs="仿宋_GB2312"/>
          <w:color w:val="auto"/>
          <w:spacing w:val="-9"/>
          <w:sz w:val="32"/>
          <w:szCs w:val="32"/>
          <w:highlight w:val="none"/>
        </w:rPr>
        <w:t>通知要求</w:t>
      </w:r>
      <w:r>
        <w:rPr>
          <w:rFonts w:hint="eastAsia" w:ascii="仿宋_GB2312" w:hAnsi="仿宋_GB2312" w:eastAsia="仿宋_GB2312" w:cs="仿宋_GB2312"/>
          <w:sz w:val="32"/>
          <w:szCs w:val="32"/>
          <w:highlight w:val="none"/>
          <w:lang w:eastAsia="zh-CN"/>
        </w:rPr>
        <w:t>通过哈尔滨市政务网</w:t>
      </w:r>
      <w:r>
        <w:rPr>
          <w:rFonts w:hint="eastAsia" w:ascii="仿宋_GB2312" w:hAnsi="仿宋_GB2312" w:eastAsia="仿宋_GB2312" w:cs="仿宋_GB2312"/>
          <w:color w:val="auto"/>
          <w:spacing w:val="-9"/>
          <w:kern w:val="0"/>
          <w:sz w:val="32"/>
          <w:szCs w:val="32"/>
          <w:highlight w:val="none"/>
        </w:rPr>
        <w:t>向</w:t>
      </w:r>
      <w:r>
        <w:rPr>
          <w:rFonts w:hint="eastAsia" w:ascii="仿宋_GB2312" w:hAnsi="仿宋_GB2312" w:eastAsia="仿宋_GB2312" w:cs="仿宋_GB2312"/>
          <w:color w:val="auto"/>
          <w:spacing w:val="-9"/>
          <w:kern w:val="0"/>
          <w:sz w:val="32"/>
          <w:szCs w:val="32"/>
          <w:highlight w:val="none"/>
          <w:lang w:eastAsia="zh-CN"/>
        </w:rPr>
        <w:t>市工信局</w:t>
      </w:r>
      <w:r>
        <w:rPr>
          <w:rFonts w:hint="eastAsia" w:ascii="仿宋_GB2312" w:hAnsi="仿宋_GB2312" w:eastAsia="仿宋_GB2312" w:cs="仿宋_GB2312"/>
          <w:color w:val="auto"/>
          <w:spacing w:val="-9"/>
          <w:kern w:val="0"/>
          <w:sz w:val="32"/>
          <w:szCs w:val="32"/>
          <w:highlight w:val="none"/>
        </w:rPr>
        <w:t>提交申请材料。申请材料</w:t>
      </w:r>
      <w:r>
        <w:rPr>
          <w:rFonts w:hint="eastAsia" w:ascii="仿宋_GB2312" w:hAnsi="仿宋_GB2312" w:eastAsia="仿宋_GB2312" w:cs="仿宋_GB2312"/>
          <w:color w:val="auto"/>
          <w:spacing w:val="-9"/>
          <w:kern w:val="0"/>
          <w:sz w:val="32"/>
          <w:szCs w:val="32"/>
          <w:highlight w:val="none"/>
          <w:lang w:eastAsia="zh-CN"/>
        </w:rPr>
        <w:t>内容应</w:t>
      </w:r>
      <w:r>
        <w:rPr>
          <w:rFonts w:hint="eastAsia" w:ascii="仿宋_GB2312" w:hAnsi="仿宋_GB2312" w:eastAsia="仿宋_GB2312" w:cs="仿宋_GB2312"/>
          <w:color w:val="auto"/>
          <w:spacing w:val="-9"/>
          <w:kern w:val="0"/>
          <w:sz w:val="32"/>
          <w:szCs w:val="32"/>
          <w:highlight w:val="none"/>
        </w:rPr>
        <w:t>包括企业申请报告</w:t>
      </w:r>
      <w:r>
        <w:rPr>
          <w:rFonts w:hint="eastAsia" w:ascii="仿宋_GB2312" w:hAnsi="仿宋_GB2312" w:eastAsia="仿宋_GB2312" w:cs="仿宋_GB2312"/>
          <w:color w:val="auto"/>
          <w:spacing w:val="-9"/>
          <w:kern w:val="0"/>
          <w:sz w:val="32"/>
          <w:szCs w:val="32"/>
          <w:highlight w:val="none"/>
          <w:lang w:eastAsia="zh-CN"/>
        </w:rPr>
        <w:t>（见附件</w:t>
      </w:r>
      <w:r>
        <w:rPr>
          <w:rFonts w:hint="eastAsia" w:ascii="仿宋_GB2312" w:hAnsi="仿宋_GB2312" w:eastAsia="仿宋_GB2312" w:cs="仿宋_GB2312"/>
          <w:color w:val="auto"/>
          <w:spacing w:val="-9"/>
          <w:kern w:val="0"/>
          <w:sz w:val="32"/>
          <w:szCs w:val="32"/>
          <w:highlight w:val="none"/>
          <w:lang w:val="en-US" w:eastAsia="zh-CN"/>
        </w:rPr>
        <w:t>2</w:t>
      </w:r>
      <w:r>
        <w:rPr>
          <w:rFonts w:hint="eastAsia" w:ascii="仿宋_GB2312" w:hAnsi="仿宋_GB2312" w:eastAsia="仿宋_GB2312" w:cs="仿宋_GB2312"/>
          <w:color w:val="auto"/>
          <w:spacing w:val="-9"/>
          <w:kern w:val="0"/>
          <w:sz w:val="32"/>
          <w:szCs w:val="32"/>
          <w:highlight w:val="none"/>
          <w:lang w:eastAsia="zh-CN"/>
        </w:rPr>
        <w:t>）、评价数据</w:t>
      </w:r>
      <w:r>
        <w:rPr>
          <w:rFonts w:hint="eastAsia" w:ascii="仿宋_GB2312" w:hAnsi="仿宋_GB2312" w:eastAsia="仿宋_GB2312" w:cs="仿宋_GB2312"/>
          <w:color w:val="auto"/>
          <w:spacing w:val="-9"/>
          <w:kern w:val="0"/>
          <w:sz w:val="32"/>
          <w:szCs w:val="32"/>
          <w:highlight w:val="none"/>
        </w:rPr>
        <w:t>表</w:t>
      </w:r>
      <w:r>
        <w:rPr>
          <w:rFonts w:hint="eastAsia" w:ascii="仿宋_GB2312" w:hAnsi="仿宋_GB2312" w:eastAsia="仿宋_GB2312" w:cs="仿宋_GB2312"/>
          <w:color w:val="auto"/>
          <w:spacing w:val="-9"/>
          <w:kern w:val="0"/>
          <w:sz w:val="32"/>
          <w:szCs w:val="32"/>
          <w:highlight w:val="none"/>
          <w:lang w:eastAsia="zh-CN"/>
        </w:rPr>
        <w:t>和需提供的附件及佐证材料（见附件</w:t>
      </w:r>
      <w:r>
        <w:rPr>
          <w:rFonts w:hint="eastAsia" w:ascii="仿宋_GB2312" w:hAnsi="仿宋_GB2312" w:eastAsia="仿宋_GB2312" w:cs="仿宋_GB2312"/>
          <w:color w:val="auto"/>
          <w:spacing w:val="-9"/>
          <w:kern w:val="0"/>
          <w:sz w:val="32"/>
          <w:szCs w:val="32"/>
          <w:highlight w:val="none"/>
          <w:lang w:val="en-US" w:eastAsia="zh-CN"/>
        </w:rPr>
        <w:t>3</w:t>
      </w:r>
      <w:r>
        <w:rPr>
          <w:rFonts w:hint="eastAsia" w:ascii="仿宋_GB2312" w:hAnsi="仿宋_GB2312" w:eastAsia="仿宋_GB2312" w:cs="仿宋_GB2312"/>
          <w:color w:val="auto"/>
          <w:spacing w:val="-9"/>
          <w:kern w:val="0"/>
          <w:sz w:val="32"/>
          <w:szCs w:val="32"/>
          <w:highlight w:val="none"/>
          <w:lang w:eastAsia="zh-CN"/>
        </w:rPr>
        <w:t>）</w:t>
      </w:r>
      <w:r>
        <w:rPr>
          <w:rFonts w:hint="eastAsia" w:ascii="仿宋_GB2312" w:hAnsi="仿宋_GB2312" w:eastAsia="仿宋_GB2312" w:cs="仿宋_GB2312"/>
          <w:color w:val="auto"/>
          <w:spacing w:val="-9"/>
          <w:kern w:val="0"/>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42"/>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9"/>
          <w:kern w:val="0"/>
          <w:sz w:val="32"/>
          <w:szCs w:val="32"/>
        </w:rPr>
        <w:t>2.</w:t>
      </w:r>
      <w:r>
        <w:rPr>
          <w:rFonts w:hint="eastAsia" w:ascii="仿宋_GB2312" w:hAnsi="仿宋_GB2312" w:eastAsia="仿宋_GB2312" w:cs="仿宋_GB2312"/>
          <w:color w:val="auto"/>
          <w:kern w:val="0"/>
          <w:sz w:val="32"/>
          <w:szCs w:val="32"/>
        </w:rPr>
        <w:t>市工信</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highlight w:val="none"/>
          <w:shd w:val="clear" w:color="auto" w:fill="FFFFFF"/>
        </w:rPr>
        <w:t>组织专家或</w:t>
      </w:r>
      <w:r>
        <w:rPr>
          <w:rFonts w:hint="eastAsia" w:ascii="仿宋_GB2312" w:hAnsi="仿宋_GB2312" w:eastAsia="仿宋_GB2312" w:cs="仿宋_GB2312"/>
          <w:color w:val="auto"/>
          <w:kern w:val="0"/>
          <w:sz w:val="32"/>
          <w:szCs w:val="32"/>
          <w:shd w:val="clear" w:color="auto" w:fill="FFFFFF"/>
        </w:rPr>
        <w:t>委托第三方机构依据本办法及国家、省、市</w:t>
      </w:r>
      <w:r>
        <w:rPr>
          <w:rFonts w:hint="eastAsia" w:ascii="仿宋_GB2312" w:hAnsi="仿宋_GB2312" w:eastAsia="仿宋_GB2312" w:cs="仿宋_GB2312"/>
          <w:color w:val="auto"/>
          <w:kern w:val="0"/>
          <w:sz w:val="32"/>
          <w:szCs w:val="32"/>
          <w:shd w:val="clear" w:color="auto" w:fill="FFFFFF"/>
          <w:lang w:eastAsia="zh-CN"/>
        </w:rPr>
        <w:t>有关</w:t>
      </w:r>
      <w:r>
        <w:rPr>
          <w:rFonts w:hint="eastAsia" w:ascii="仿宋_GB2312" w:hAnsi="仿宋_GB2312" w:eastAsia="仿宋_GB2312" w:cs="仿宋_GB2312"/>
          <w:color w:val="auto"/>
          <w:kern w:val="0"/>
          <w:sz w:val="32"/>
          <w:szCs w:val="32"/>
          <w:shd w:val="clear" w:color="auto" w:fill="FFFFFF"/>
        </w:rPr>
        <w:t>政策</w:t>
      </w:r>
      <w:r>
        <w:rPr>
          <w:rFonts w:hint="eastAsia" w:ascii="仿宋_GB2312" w:hAnsi="仿宋_GB2312" w:eastAsia="仿宋_GB2312" w:cs="仿宋_GB2312"/>
          <w:color w:val="auto"/>
          <w:kern w:val="0"/>
          <w:sz w:val="32"/>
          <w:szCs w:val="32"/>
        </w:rPr>
        <w:t>对企业的申请材料进行审核、对通过材料审核的企业进行实地核查、对通过核查的企业进行专家评审，形成专家</w:t>
      </w:r>
      <w:r>
        <w:rPr>
          <w:rFonts w:hint="eastAsia" w:ascii="仿宋_GB2312" w:hAnsi="仿宋_GB2312" w:eastAsia="仿宋_GB2312" w:cs="仿宋_GB2312"/>
          <w:color w:val="auto"/>
          <w:kern w:val="0"/>
          <w:sz w:val="32"/>
          <w:szCs w:val="32"/>
          <w:lang w:eastAsia="zh-CN"/>
        </w:rPr>
        <w:t>或</w:t>
      </w:r>
      <w:r>
        <w:rPr>
          <w:rFonts w:hint="eastAsia" w:ascii="仿宋_GB2312" w:hAnsi="仿宋_GB2312" w:eastAsia="仿宋_GB2312" w:cs="仿宋_GB2312"/>
          <w:color w:val="auto"/>
          <w:kern w:val="0"/>
          <w:sz w:val="32"/>
          <w:szCs w:val="32"/>
          <w:shd w:val="clear" w:color="auto" w:fill="FFFFFF"/>
        </w:rPr>
        <w:t>第三方机构</w:t>
      </w:r>
      <w:r>
        <w:rPr>
          <w:rFonts w:hint="eastAsia" w:ascii="仿宋_GB2312" w:hAnsi="仿宋_GB2312" w:eastAsia="仿宋_GB2312" w:cs="仿宋_GB2312"/>
          <w:color w:val="auto"/>
          <w:kern w:val="0"/>
          <w:sz w:val="32"/>
          <w:szCs w:val="32"/>
        </w:rPr>
        <w:t>评审意见。</w:t>
      </w:r>
    </w:p>
    <w:p>
      <w:pPr>
        <w:keepNext w:val="0"/>
        <w:keepLines w:val="0"/>
        <w:pageBreakBefore w:val="0"/>
        <w:kinsoku/>
        <w:wordWrap/>
        <w:overflowPunct/>
        <w:topLinePunct w:val="0"/>
        <w:autoSpaceDE/>
        <w:autoSpaceDN/>
        <w:bidi w:val="0"/>
        <w:adjustRightInd/>
        <w:snapToGrid w:val="0"/>
        <w:spacing w:line="600" w:lineRule="exact"/>
        <w:ind w:firstLine="642"/>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.市工信</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rPr>
        <w:t>根据专家</w:t>
      </w:r>
      <w:r>
        <w:rPr>
          <w:rFonts w:hint="eastAsia" w:ascii="仿宋_GB2312" w:hAnsi="仿宋_GB2312" w:eastAsia="仿宋_GB2312" w:cs="仿宋_GB2312"/>
          <w:color w:val="auto"/>
          <w:kern w:val="0"/>
          <w:sz w:val="32"/>
          <w:szCs w:val="32"/>
          <w:lang w:eastAsia="zh-CN"/>
        </w:rPr>
        <w:t>或</w:t>
      </w:r>
      <w:r>
        <w:rPr>
          <w:rFonts w:hint="eastAsia" w:ascii="仿宋_GB2312" w:hAnsi="仿宋_GB2312" w:eastAsia="仿宋_GB2312" w:cs="仿宋_GB2312"/>
          <w:color w:val="auto"/>
          <w:kern w:val="0"/>
          <w:sz w:val="32"/>
          <w:szCs w:val="32"/>
          <w:shd w:val="clear" w:color="auto" w:fill="FFFFFF"/>
        </w:rPr>
        <w:t>第三方机构</w:t>
      </w:r>
      <w:r>
        <w:rPr>
          <w:rFonts w:hint="eastAsia" w:ascii="仿宋_GB2312" w:hAnsi="仿宋_GB2312" w:eastAsia="仿宋_GB2312" w:cs="仿宋_GB2312"/>
          <w:color w:val="auto"/>
          <w:kern w:val="0"/>
          <w:sz w:val="32"/>
          <w:szCs w:val="32"/>
        </w:rPr>
        <w:t>评审意见综合评定后，确定认定结果，在</w:t>
      </w:r>
      <w:r>
        <w:rPr>
          <w:rFonts w:hint="eastAsia" w:ascii="仿宋_GB2312" w:hAnsi="仿宋_GB2312" w:eastAsia="仿宋_GB2312" w:cs="仿宋_GB2312"/>
          <w:color w:val="auto"/>
          <w:kern w:val="0"/>
          <w:sz w:val="32"/>
          <w:szCs w:val="32"/>
          <w:lang w:val="en-US" w:eastAsia="zh-CN"/>
        </w:rPr>
        <w:t>政府部门</w:t>
      </w:r>
      <w:r>
        <w:rPr>
          <w:rFonts w:hint="eastAsia" w:ascii="仿宋_GB2312" w:hAnsi="仿宋_GB2312" w:eastAsia="仿宋_GB2312" w:cs="仿宋_GB2312"/>
          <w:color w:val="auto"/>
          <w:kern w:val="0"/>
          <w:sz w:val="32"/>
          <w:szCs w:val="32"/>
        </w:rPr>
        <w:t>网站公示，无异议后，予以认定。</w:t>
      </w:r>
    </w:p>
    <w:p>
      <w:pPr>
        <w:keepNext w:val="0"/>
        <w:keepLines w:val="0"/>
        <w:pageBreakBefore w:val="0"/>
        <w:kinsoku/>
        <w:wordWrap/>
        <w:overflowPunct/>
        <w:topLinePunct w:val="0"/>
        <w:autoSpaceDE/>
        <w:autoSpaceDN/>
        <w:bidi w:val="0"/>
        <w:adjustRightInd/>
        <w:snapToGrid w:val="0"/>
        <w:spacing w:line="600" w:lineRule="exact"/>
        <w:ind w:firstLine="642"/>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黑体" w:hAnsi="黑体" w:eastAsia="黑体" w:cs="仿宋_GB2312"/>
          <w:bCs/>
          <w:color w:val="auto"/>
          <w:kern w:val="0"/>
          <w:sz w:val="32"/>
          <w:szCs w:val="32"/>
        </w:rPr>
      </w:pPr>
      <w:r>
        <w:rPr>
          <w:rFonts w:hint="eastAsia" w:ascii="黑体" w:hAnsi="黑体" w:eastAsia="黑体" w:cs="仿宋_GB2312"/>
          <w:bCs/>
          <w:color w:val="auto"/>
          <w:kern w:val="0"/>
          <w:sz w:val="32"/>
          <w:szCs w:val="32"/>
        </w:rPr>
        <w:t>第三章  运行评价</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highlight w:val="none"/>
        </w:rPr>
      </w:pPr>
      <w:r>
        <w:rPr>
          <w:rFonts w:hint="eastAsia" w:ascii="仿宋_GB2312" w:hAnsi="仿宋_GB2312" w:eastAsia="仿宋_GB2312" w:cs="仿宋_GB2312"/>
          <w:b/>
          <w:bCs/>
          <w:color w:val="auto"/>
          <w:spacing w:val="-9"/>
          <w:sz w:val="32"/>
          <w:szCs w:val="32"/>
        </w:rPr>
        <w:t xml:space="preserve"> </w:t>
      </w:r>
      <w:r>
        <w:rPr>
          <w:rFonts w:hint="eastAsia" w:ascii="仿宋_GB2312" w:hAnsi="仿宋_GB2312" w:eastAsia="仿宋_GB2312" w:cs="仿宋_GB2312"/>
          <w:b/>
          <w:bCs/>
          <w:color w:val="auto"/>
          <w:spacing w:val="-9"/>
          <w:sz w:val="32"/>
          <w:szCs w:val="32"/>
          <w:highlight w:val="none"/>
        </w:rPr>
        <w:t>第八条</w:t>
      </w:r>
      <w:r>
        <w:rPr>
          <w:rFonts w:hint="eastAsia" w:ascii="仿宋_GB2312" w:hAnsi="仿宋_GB2312" w:eastAsia="仿宋_GB2312" w:cs="仿宋_GB2312"/>
          <w:color w:val="auto"/>
          <w:spacing w:val="-9"/>
          <w:sz w:val="32"/>
          <w:szCs w:val="32"/>
          <w:highlight w:val="none"/>
        </w:rPr>
        <w:t xml:space="preserve">  市企业技术中心</w:t>
      </w:r>
      <w:r>
        <w:rPr>
          <w:rFonts w:hint="eastAsia" w:ascii="仿宋_GB2312" w:hAnsi="仿宋_GB2312" w:eastAsia="仿宋_GB2312" w:cs="仿宋_GB2312"/>
          <w:color w:val="auto"/>
          <w:spacing w:val="-9"/>
          <w:sz w:val="32"/>
          <w:szCs w:val="32"/>
          <w:highlight w:val="none"/>
          <w:lang w:eastAsia="zh-CN"/>
        </w:rPr>
        <w:t>管理工作</w:t>
      </w:r>
      <w:r>
        <w:rPr>
          <w:rFonts w:hint="eastAsia" w:ascii="仿宋_GB2312" w:hAnsi="仿宋_GB2312" w:eastAsia="仿宋_GB2312" w:cs="仿宋_GB2312"/>
          <w:color w:val="auto"/>
          <w:spacing w:val="-9"/>
          <w:sz w:val="32"/>
          <w:szCs w:val="32"/>
          <w:highlight w:val="none"/>
        </w:rPr>
        <w:t>实行</w:t>
      </w:r>
      <w:r>
        <w:rPr>
          <w:rFonts w:hint="eastAsia" w:ascii="仿宋_GB2312" w:hAnsi="仿宋_GB2312" w:eastAsia="仿宋_GB2312" w:cs="仿宋_GB2312"/>
          <w:color w:val="auto"/>
          <w:spacing w:val="-9"/>
          <w:sz w:val="32"/>
          <w:szCs w:val="32"/>
          <w:highlight w:val="none"/>
          <w:lang w:eastAsia="zh-CN"/>
        </w:rPr>
        <w:t>年度</w:t>
      </w:r>
      <w:r>
        <w:rPr>
          <w:rFonts w:hint="eastAsia" w:ascii="仿宋_GB2312" w:hAnsi="仿宋_GB2312" w:eastAsia="仿宋_GB2312" w:cs="仿宋_GB2312"/>
          <w:color w:val="auto"/>
          <w:spacing w:val="-9"/>
          <w:sz w:val="32"/>
          <w:szCs w:val="32"/>
          <w:highlight w:val="none"/>
        </w:rPr>
        <w:t>报表制度，</w:t>
      </w:r>
      <w:r>
        <w:rPr>
          <w:rFonts w:hint="eastAsia" w:ascii="仿宋_GB2312" w:hAnsi="仿宋_GB2312" w:eastAsia="仿宋_GB2312" w:cs="仿宋_GB2312"/>
          <w:color w:val="auto"/>
          <w:sz w:val="32"/>
          <w:szCs w:val="32"/>
          <w:highlight w:val="none"/>
        </w:rPr>
        <w:t>已认定的市企业技术中心</w:t>
      </w:r>
      <w:r>
        <w:rPr>
          <w:rFonts w:hint="eastAsia" w:ascii="仿宋_GB2312" w:hAnsi="仿宋_GB2312" w:eastAsia="仿宋_GB2312" w:cs="仿宋_GB2312"/>
          <w:color w:val="auto"/>
          <w:spacing w:val="-9"/>
          <w:sz w:val="32"/>
          <w:szCs w:val="32"/>
          <w:highlight w:val="none"/>
          <w:lang w:eastAsia="zh-CN"/>
        </w:rPr>
        <w:t>应于下年的</w:t>
      </w:r>
      <w:r>
        <w:rPr>
          <w:rFonts w:hint="eastAsia" w:ascii="仿宋_GB2312" w:hAnsi="仿宋_GB2312" w:eastAsia="仿宋_GB2312" w:cs="仿宋_GB2312"/>
          <w:color w:val="auto"/>
          <w:spacing w:val="-9"/>
          <w:sz w:val="32"/>
          <w:szCs w:val="32"/>
          <w:highlight w:val="none"/>
          <w:lang w:val="en-US" w:eastAsia="zh-CN"/>
        </w:rPr>
        <w:t>3月1日前，登录哈尔滨工业企业服务系统（http://iem.harbin.gov.cn）</w:t>
      </w:r>
      <w:r>
        <w:rPr>
          <w:rFonts w:hint="eastAsia" w:ascii="仿宋_GB2312" w:hAnsi="仿宋_GB2312" w:eastAsia="仿宋_GB2312" w:cs="仿宋_GB2312"/>
          <w:color w:val="auto"/>
          <w:spacing w:val="-9"/>
          <w:sz w:val="32"/>
          <w:szCs w:val="32"/>
          <w:highlight w:val="none"/>
        </w:rPr>
        <w:t>网上填报年度报表。</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highlight w:val="none"/>
        </w:rPr>
      </w:pPr>
      <w:r>
        <w:rPr>
          <w:rFonts w:hint="eastAsia" w:ascii="仿宋_GB2312" w:hAnsi="仿宋_GB2312" w:eastAsia="仿宋_GB2312" w:cs="仿宋_GB2312"/>
          <w:b/>
          <w:bCs/>
          <w:color w:val="auto"/>
          <w:spacing w:val="-9"/>
          <w:sz w:val="32"/>
          <w:szCs w:val="32"/>
          <w:highlight w:val="none"/>
        </w:rPr>
        <w:t xml:space="preserve"> 第九条</w:t>
      </w:r>
      <w:r>
        <w:rPr>
          <w:rFonts w:hint="eastAsia" w:ascii="仿宋_GB2312" w:hAnsi="仿宋_GB2312" w:eastAsia="仿宋_GB2312" w:cs="仿宋_GB2312"/>
          <w:color w:val="auto"/>
          <w:spacing w:val="-9"/>
          <w:sz w:val="32"/>
          <w:szCs w:val="32"/>
          <w:highlight w:val="none"/>
        </w:rPr>
        <w:t xml:space="preserve">  市企业技术中心原则上每两年进行一次运行评价，区、县（市）工信主管部门按</w:t>
      </w:r>
      <w:r>
        <w:rPr>
          <w:rFonts w:hint="eastAsia" w:ascii="仿宋_GB2312" w:hAnsi="仿宋_GB2312" w:eastAsia="仿宋_GB2312" w:cs="仿宋_GB2312"/>
          <w:color w:val="auto"/>
          <w:spacing w:val="-9"/>
          <w:sz w:val="32"/>
          <w:szCs w:val="32"/>
          <w:highlight w:val="none"/>
          <w:lang w:eastAsia="zh-CN"/>
        </w:rPr>
        <w:t>当年</w:t>
      </w:r>
      <w:r>
        <w:rPr>
          <w:rFonts w:hint="eastAsia" w:ascii="仿宋_GB2312" w:hAnsi="仿宋_GB2312" w:eastAsia="仿宋_GB2312" w:cs="仿宋_GB2312"/>
          <w:color w:val="auto"/>
          <w:spacing w:val="-9"/>
          <w:sz w:val="32"/>
          <w:szCs w:val="32"/>
          <w:highlight w:val="none"/>
        </w:rPr>
        <w:t>通知要求组织企业报送评价材料。</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 xml:space="preserve"> 第十条</w:t>
      </w:r>
      <w:r>
        <w:rPr>
          <w:rFonts w:hint="eastAsia" w:ascii="仿宋_GB2312" w:hAnsi="仿宋_GB2312" w:eastAsia="仿宋_GB2312" w:cs="仿宋_GB2312"/>
          <w:color w:val="auto"/>
          <w:spacing w:val="-9"/>
          <w:sz w:val="32"/>
          <w:szCs w:val="32"/>
        </w:rPr>
        <w:t xml:space="preserve">  评价材料主要包括企业技术中心工作总结、评价数据表</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kern w:val="0"/>
          <w:sz w:val="32"/>
          <w:szCs w:val="32"/>
          <w:lang w:eastAsia="zh-CN"/>
        </w:rPr>
        <w:t>需提供的附件及佐证材料</w:t>
      </w:r>
      <w:r>
        <w:rPr>
          <w:rFonts w:hint="eastAsia" w:ascii="仿宋_GB2312" w:hAnsi="仿宋_GB2312" w:eastAsia="仿宋_GB2312" w:cs="仿宋_GB2312"/>
          <w:color w:val="auto"/>
          <w:spacing w:val="-9"/>
          <w:sz w:val="32"/>
          <w:szCs w:val="32"/>
        </w:rPr>
        <w:t>。市工信</w:t>
      </w:r>
      <w:r>
        <w:rPr>
          <w:rFonts w:hint="eastAsia" w:ascii="仿宋_GB2312" w:hAnsi="仿宋_GB2312" w:eastAsia="仿宋_GB2312" w:cs="仿宋_GB2312"/>
          <w:color w:val="auto"/>
          <w:spacing w:val="-9"/>
          <w:sz w:val="32"/>
          <w:szCs w:val="32"/>
          <w:lang w:val="en-US" w:eastAsia="zh-CN"/>
        </w:rPr>
        <w:t>局依据评价指标体系，</w:t>
      </w:r>
      <w:r>
        <w:rPr>
          <w:rFonts w:hint="eastAsia" w:ascii="仿宋_GB2312" w:hAnsi="仿宋_GB2312" w:eastAsia="仿宋_GB2312" w:cs="仿宋_GB2312"/>
          <w:color w:val="auto"/>
          <w:spacing w:val="-9"/>
          <w:sz w:val="32"/>
          <w:szCs w:val="32"/>
        </w:rPr>
        <w:t>采取材料核实与实地抽查相结合的方式</w:t>
      </w:r>
      <w:r>
        <w:rPr>
          <w:rFonts w:hint="eastAsia" w:ascii="仿宋_GB2312" w:hAnsi="仿宋_GB2312" w:eastAsia="仿宋_GB2312" w:cs="仿宋_GB2312"/>
          <w:color w:val="auto"/>
          <w:spacing w:val="-9"/>
          <w:sz w:val="32"/>
          <w:szCs w:val="32"/>
          <w:lang w:eastAsia="zh-CN"/>
        </w:rPr>
        <w:t>，对市企业技术中心进</w:t>
      </w:r>
      <w:r>
        <w:rPr>
          <w:rFonts w:hint="eastAsia" w:ascii="仿宋_GB2312" w:hAnsi="仿宋_GB2312" w:eastAsia="仿宋_GB2312" w:cs="仿宋_GB2312"/>
          <w:color w:val="auto"/>
          <w:spacing w:val="-9"/>
          <w:sz w:val="32"/>
          <w:szCs w:val="32"/>
        </w:rPr>
        <w:t>行评价</w:t>
      </w:r>
      <w:r>
        <w:rPr>
          <w:rFonts w:hint="eastAsia" w:ascii="仿宋_GB2312" w:hAnsi="仿宋_GB2312" w:eastAsia="仿宋_GB2312" w:cs="仿宋_GB2312"/>
          <w:color w:val="auto"/>
          <w:spacing w:val="-9"/>
          <w:sz w:val="32"/>
          <w:szCs w:val="32"/>
          <w:lang w:eastAsia="zh-CN"/>
        </w:rPr>
        <w:t>并形成评价结果</w:t>
      </w:r>
      <w:r>
        <w:rPr>
          <w:rFonts w:hint="eastAsia" w:ascii="仿宋_GB2312" w:hAnsi="仿宋_GB2312" w:eastAsia="仿宋_GB2312" w:cs="仿宋_GB2312"/>
          <w:color w:val="auto"/>
          <w:spacing w:val="-9"/>
          <w:sz w:val="32"/>
          <w:szCs w:val="32"/>
        </w:rPr>
        <w:t xml:space="preserve">。 </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评价结果分为优秀、</w:t>
      </w:r>
      <w:r>
        <w:rPr>
          <w:rFonts w:hint="eastAsia" w:ascii="仿宋_GB2312" w:hAnsi="仿宋_GB2312" w:eastAsia="仿宋_GB2312" w:cs="仿宋_GB2312"/>
          <w:color w:val="auto"/>
          <w:spacing w:val="-9"/>
          <w:sz w:val="32"/>
          <w:szCs w:val="32"/>
          <w:lang w:val="en-US" w:eastAsia="zh-CN"/>
        </w:rPr>
        <w:t>良好、</w:t>
      </w:r>
      <w:r>
        <w:rPr>
          <w:rFonts w:hint="eastAsia" w:ascii="仿宋_GB2312" w:hAnsi="仿宋_GB2312" w:eastAsia="仿宋_GB2312" w:cs="仿宋_GB2312"/>
          <w:color w:val="auto"/>
          <w:spacing w:val="-9"/>
          <w:sz w:val="32"/>
          <w:szCs w:val="32"/>
        </w:rPr>
        <w:t>合格、不合格。</w:t>
      </w:r>
    </w:p>
    <w:p>
      <w:pPr>
        <w:keepNext w:val="0"/>
        <w:keepLines w:val="0"/>
        <w:pageBreakBefore w:val="0"/>
        <w:numPr>
          <w:ilvl w:val="0"/>
          <w:numId w:val="2"/>
        </w:numPr>
        <w:kinsoku/>
        <w:wordWrap/>
        <w:overflowPunct/>
        <w:topLinePunct w:val="0"/>
        <w:autoSpaceDE/>
        <w:autoSpaceDN/>
        <w:bidi w:val="0"/>
        <w:adjustRightInd/>
        <w:snapToGrid w:val="0"/>
        <w:spacing w:line="600" w:lineRule="exact"/>
        <w:ind w:firstLine="568"/>
        <w:jc w:val="left"/>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评价得分90分以上为优秀；</w:t>
      </w:r>
    </w:p>
    <w:p>
      <w:pPr>
        <w:keepNext w:val="0"/>
        <w:keepLines w:val="0"/>
        <w:pageBreakBefore w:val="0"/>
        <w:numPr>
          <w:ilvl w:val="0"/>
          <w:numId w:val="2"/>
        </w:numPr>
        <w:kinsoku/>
        <w:wordWrap/>
        <w:overflowPunct/>
        <w:topLinePunct w:val="0"/>
        <w:autoSpaceDE/>
        <w:autoSpaceDN/>
        <w:bidi w:val="0"/>
        <w:adjustRightInd/>
        <w:snapToGrid w:val="0"/>
        <w:spacing w:line="600" w:lineRule="exact"/>
        <w:ind w:firstLine="568"/>
        <w:jc w:val="left"/>
        <w:textAlignment w:val="auto"/>
        <w:rPr>
          <w:rFonts w:hint="eastAsia" w:ascii="仿宋_GB2312" w:hAnsi="仿宋_GB2312" w:eastAsia="仿宋_GB2312" w:cs="仿宋_GB2312"/>
          <w:color w:val="auto"/>
          <w:spacing w:val="-9"/>
          <w:sz w:val="32"/>
          <w:szCs w:val="32"/>
          <w:highlight w:val="none"/>
        </w:rPr>
      </w:pPr>
      <w:r>
        <w:rPr>
          <w:rFonts w:hint="eastAsia" w:ascii="仿宋_GB2312" w:hAnsi="仿宋_GB2312" w:eastAsia="仿宋_GB2312" w:cs="仿宋_GB2312"/>
          <w:color w:val="auto"/>
          <w:spacing w:val="-9"/>
          <w:sz w:val="32"/>
          <w:szCs w:val="32"/>
        </w:rPr>
        <w:t>评价得分</w:t>
      </w:r>
      <w:r>
        <w:rPr>
          <w:rFonts w:hint="eastAsia" w:ascii="仿宋_GB2312" w:hAnsi="仿宋_GB2312" w:eastAsia="仿宋_GB2312" w:cs="仿宋_GB2312"/>
          <w:color w:val="auto"/>
          <w:spacing w:val="-9"/>
          <w:sz w:val="32"/>
          <w:szCs w:val="32"/>
          <w:highlight w:val="none"/>
          <w:lang w:val="en-US" w:eastAsia="zh-CN"/>
        </w:rPr>
        <w:t>80</w:t>
      </w:r>
      <w:r>
        <w:rPr>
          <w:rFonts w:hint="eastAsia" w:ascii="仿宋_GB2312" w:hAnsi="仿宋_GB2312" w:eastAsia="仿宋_GB2312" w:cs="仿宋_GB2312"/>
          <w:color w:val="auto"/>
          <w:spacing w:val="-9"/>
          <w:sz w:val="32"/>
          <w:szCs w:val="32"/>
          <w:highlight w:val="none"/>
        </w:rPr>
        <w:t>分以上为</w:t>
      </w:r>
      <w:r>
        <w:rPr>
          <w:rFonts w:hint="eastAsia" w:ascii="仿宋_GB2312" w:hAnsi="仿宋_GB2312" w:eastAsia="仿宋_GB2312" w:cs="仿宋_GB2312"/>
          <w:color w:val="auto"/>
          <w:spacing w:val="-9"/>
          <w:sz w:val="32"/>
          <w:szCs w:val="32"/>
          <w:highlight w:val="none"/>
          <w:lang w:val="en-US" w:eastAsia="zh-CN"/>
        </w:rPr>
        <w:t>良好</w:t>
      </w:r>
      <w:r>
        <w:rPr>
          <w:rFonts w:hint="eastAsia" w:ascii="仿宋_GB2312" w:hAnsi="仿宋_GB2312" w:eastAsia="仿宋_GB2312" w:cs="仿宋_GB2312"/>
          <w:color w:val="auto"/>
          <w:spacing w:val="-9"/>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left="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highlight w:val="none"/>
        </w:rPr>
        <w:t>(三)评价得分60至</w:t>
      </w:r>
      <w:r>
        <w:rPr>
          <w:rFonts w:hint="eastAsia" w:ascii="仿宋_GB2312" w:hAnsi="仿宋_GB2312" w:eastAsia="仿宋_GB2312" w:cs="仿宋_GB2312"/>
          <w:color w:val="auto"/>
          <w:spacing w:val="-9"/>
          <w:sz w:val="32"/>
          <w:szCs w:val="32"/>
          <w:highlight w:val="none"/>
          <w:lang w:val="en-US" w:eastAsia="zh-CN"/>
        </w:rPr>
        <w:t>8</w:t>
      </w:r>
      <w:r>
        <w:rPr>
          <w:rFonts w:hint="eastAsia" w:ascii="仿宋_GB2312" w:hAnsi="仿宋_GB2312" w:eastAsia="仿宋_GB2312" w:cs="仿宋_GB2312"/>
          <w:color w:val="auto"/>
          <w:spacing w:val="-9"/>
          <w:sz w:val="32"/>
          <w:szCs w:val="32"/>
          <w:highlight w:val="none"/>
        </w:rPr>
        <w:t>0分(不含</w:t>
      </w:r>
      <w:r>
        <w:rPr>
          <w:rFonts w:hint="eastAsia" w:ascii="仿宋_GB2312" w:hAnsi="仿宋_GB2312" w:eastAsia="仿宋_GB2312" w:cs="仿宋_GB2312"/>
          <w:color w:val="auto"/>
          <w:spacing w:val="-9"/>
          <w:sz w:val="32"/>
          <w:szCs w:val="32"/>
          <w:highlight w:val="none"/>
          <w:lang w:val="en-US" w:eastAsia="zh-CN"/>
        </w:rPr>
        <w:t>8</w:t>
      </w:r>
      <w:r>
        <w:rPr>
          <w:rFonts w:hint="eastAsia" w:ascii="仿宋_GB2312" w:hAnsi="仿宋_GB2312" w:eastAsia="仿宋_GB2312" w:cs="仿宋_GB2312"/>
          <w:color w:val="auto"/>
          <w:spacing w:val="-9"/>
          <w:sz w:val="32"/>
          <w:szCs w:val="32"/>
          <w:highlight w:val="none"/>
        </w:rPr>
        <w:t>0分)为</w:t>
      </w:r>
      <w:r>
        <w:rPr>
          <w:rFonts w:hint="eastAsia" w:ascii="仿宋_GB2312" w:hAnsi="仿宋_GB2312" w:eastAsia="仿宋_GB2312" w:cs="仿宋_GB2312"/>
          <w:color w:val="auto"/>
          <w:spacing w:val="-9"/>
          <w:sz w:val="32"/>
          <w:szCs w:val="32"/>
        </w:rPr>
        <w:t>合格；</w:t>
      </w:r>
    </w:p>
    <w:p>
      <w:pPr>
        <w:keepNext w:val="0"/>
        <w:keepLines w:val="0"/>
        <w:pageBreakBefore w:val="0"/>
        <w:kinsoku/>
        <w:wordWrap/>
        <w:overflowPunct/>
        <w:topLinePunct w:val="0"/>
        <w:autoSpaceDE/>
        <w:autoSpaceDN/>
        <w:bidi w:val="0"/>
        <w:adjustRightInd/>
        <w:snapToGrid w:val="0"/>
        <w:spacing w:line="600" w:lineRule="exact"/>
        <w:ind w:left="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pacing w:val="-9"/>
          <w:sz w:val="32"/>
          <w:szCs w:val="32"/>
          <w:lang w:val="en-US" w:eastAsia="zh-CN"/>
        </w:rPr>
        <w:t>四</w:t>
      </w:r>
      <w:r>
        <w:rPr>
          <w:rFonts w:hint="eastAsia" w:ascii="仿宋_GB2312" w:hAnsi="仿宋_GB2312" w:eastAsia="仿宋_GB2312" w:cs="仿宋_GB2312"/>
          <w:color w:val="auto"/>
          <w:spacing w:val="-9"/>
          <w:sz w:val="32"/>
          <w:szCs w:val="32"/>
        </w:rPr>
        <w:t>)评价得分低于60分为不合格。</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第十一条</w:t>
      </w:r>
      <w:r>
        <w:rPr>
          <w:rFonts w:hint="eastAsia" w:ascii="仿宋_GB2312" w:hAnsi="仿宋_GB2312" w:eastAsia="仿宋_GB2312" w:cs="仿宋_GB2312"/>
          <w:color w:val="auto"/>
          <w:spacing w:val="-9"/>
          <w:sz w:val="32"/>
          <w:szCs w:val="32"/>
        </w:rPr>
        <w:t xml:space="preserve">  市工信</w:t>
      </w:r>
      <w:r>
        <w:rPr>
          <w:rFonts w:hint="eastAsia" w:ascii="仿宋_GB2312" w:hAnsi="仿宋_GB2312" w:eastAsia="仿宋_GB2312" w:cs="仿宋_GB2312"/>
          <w:color w:val="auto"/>
          <w:spacing w:val="-9"/>
          <w:sz w:val="32"/>
          <w:szCs w:val="32"/>
          <w:lang w:val="en-US" w:eastAsia="zh-CN"/>
        </w:rPr>
        <w:t>局</w:t>
      </w:r>
      <w:r>
        <w:rPr>
          <w:rFonts w:hint="eastAsia" w:ascii="仿宋_GB2312" w:hAnsi="仿宋_GB2312" w:eastAsia="仿宋_GB2312" w:cs="仿宋_GB2312"/>
          <w:color w:val="auto"/>
          <w:spacing w:val="-9"/>
          <w:sz w:val="32"/>
          <w:szCs w:val="32"/>
        </w:rPr>
        <w:t>在</w:t>
      </w:r>
      <w:r>
        <w:rPr>
          <w:rFonts w:hint="eastAsia" w:ascii="仿宋_GB2312" w:hAnsi="仿宋_GB2312" w:eastAsia="仿宋_GB2312" w:cs="仿宋_GB2312"/>
          <w:color w:val="auto"/>
          <w:spacing w:val="-9"/>
          <w:sz w:val="32"/>
          <w:szCs w:val="32"/>
          <w:lang w:eastAsia="zh-CN"/>
        </w:rPr>
        <w:t>年度</w:t>
      </w:r>
      <w:r>
        <w:rPr>
          <w:rFonts w:hint="eastAsia" w:ascii="仿宋_GB2312" w:hAnsi="仿宋_GB2312" w:eastAsia="仿宋_GB2312" w:cs="仿宋_GB2312"/>
          <w:color w:val="auto"/>
          <w:spacing w:val="-9"/>
          <w:sz w:val="32"/>
          <w:szCs w:val="32"/>
        </w:rPr>
        <w:t>评价结束后，公布评价结果。</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 w:hAnsi="仿宋" w:eastAsia="仿宋" w:cs="仿宋"/>
          <w:color w:val="auto"/>
          <w:spacing w:val="-9"/>
          <w:sz w:val="32"/>
          <w:szCs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黑体" w:hAnsi="黑体" w:eastAsia="黑体" w:cs="仿宋_GB2312"/>
          <w:bCs/>
          <w:color w:val="auto"/>
          <w:spacing w:val="-9"/>
          <w:sz w:val="32"/>
          <w:szCs w:val="32"/>
        </w:rPr>
      </w:pPr>
      <w:r>
        <w:rPr>
          <w:rFonts w:hint="eastAsia" w:ascii="黑体" w:hAnsi="黑体" w:eastAsia="黑体" w:cs="仿宋_GB2312"/>
          <w:bCs/>
          <w:color w:val="auto"/>
          <w:spacing w:val="-9"/>
          <w:sz w:val="32"/>
          <w:szCs w:val="32"/>
        </w:rPr>
        <w:t>第四章  鼓励政策</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第十二条</w:t>
      </w:r>
      <w:r>
        <w:rPr>
          <w:rFonts w:hint="eastAsia" w:ascii="仿宋_GB2312" w:hAnsi="仿宋_GB2312" w:eastAsia="仿宋_GB2312" w:cs="仿宋_GB2312"/>
          <w:color w:val="auto"/>
          <w:spacing w:val="-9"/>
          <w:sz w:val="32"/>
          <w:szCs w:val="32"/>
        </w:rPr>
        <w:t xml:space="preserve">  择优推荐市企业技术中心申报省企业技术中心；</w:t>
      </w:r>
      <w:r>
        <w:rPr>
          <w:rFonts w:hint="eastAsia" w:ascii="仿宋_GB2312" w:hAnsi="仿宋_GB2312" w:eastAsia="仿宋_GB2312" w:cs="仿宋_GB2312"/>
          <w:color w:val="auto"/>
          <w:spacing w:val="-9"/>
          <w:sz w:val="32"/>
          <w:szCs w:val="32"/>
          <w:highlight w:val="none"/>
          <w:lang w:eastAsia="zh-CN"/>
        </w:rPr>
        <w:t>择优</w:t>
      </w:r>
      <w:r>
        <w:rPr>
          <w:rFonts w:hint="eastAsia" w:ascii="仿宋_GB2312" w:hAnsi="仿宋_GB2312" w:eastAsia="仿宋_GB2312" w:cs="仿宋_GB2312"/>
          <w:color w:val="auto"/>
          <w:spacing w:val="-9"/>
          <w:sz w:val="32"/>
          <w:szCs w:val="32"/>
        </w:rPr>
        <w:t>推荐市企业技术中心承担省、市科技计划(专项、基金</w:t>
      </w:r>
      <w:r>
        <w:rPr>
          <w:rFonts w:hint="eastAsia" w:ascii="仿宋_GB2312" w:hAnsi="仿宋_GB2312" w:eastAsia="仿宋_GB2312" w:cs="仿宋_GB2312"/>
          <w:color w:val="auto"/>
          <w:spacing w:val="-9"/>
          <w:sz w:val="32"/>
          <w:szCs w:val="32"/>
          <w:lang w:eastAsia="zh-CN"/>
        </w:rPr>
        <w:t>等</w:t>
      </w: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pacing w:val="-9"/>
          <w:sz w:val="32"/>
          <w:szCs w:val="32"/>
          <w:lang w:eastAsia="zh-CN"/>
        </w:rPr>
        <w:t>的</w:t>
      </w:r>
      <w:r>
        <w:rPr>
          <w:rFonts w:hint="eastAsia" w:ascii="仿宋_GB2312" w:hAnsi="仿宋_GB2312" w:eastAsia="仿宋_GB2312" w:cs="仿宋_GB2312"/>
          <w:color w:val="auto"/>
          <w:spacing w:val="-9"/>
          <w:sz w:val="32"/>
          <w:szCs w:val="32"/>
        </w:rPr>
        <w:t>研发任务</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highlight w:val="none"/>
          <w:lang w:eastAsia="zh-CN"/>
        </w:rPr>
        <w:t>符合条件的</w:t>
      </w:r>
      <w:r>
        <w:rPr>
          <w:rFonts w:hint="eastAsia" w:ascii="仿宋_GB2312" w:hAnsi="仿宋_GB2312" w:eastAsia="仿宋_GB2312" w:cs="仿宋_GB2312"/>
          <w:b w:val="0"/>
          <w:i w:val="0"/>
          <w:snapToGrid/>
          <w:color w:val="auto"/>
          <w:sz w:val="32"/>
          <w:szCs w:val="32"/>
          <w:highlight w:val="none"/>
          <w:shd w:val="clear" w:color="auto" w:fill="FFFFFF"/>
          <w:lang w:val="en-US" w:eastAsia="zh-CN"/>
        </w:rPr>
        <w:t>企业技术中心，依据相关规定享受当年有关政策</w:t>
      </w:r>
      <w:r>
        <w:rPr>
          <w:rFonts w:hint="eastAsia" w:ascii="仿宋_GB2312" w:hAnsi="仿宋_GB2312" w:eastAsia="仿宋_GB2312" w:cs="仿宋_GB2312"/>
          <w:color w:val="auto"/>
          <w:spacing w:val="-9"/>
          <w:sz w:val="32"/>
          <w:szCs w:val="32"/>
        </w:rPr>
        <w:t>。</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黑体" w:hAnsi="黑体" w:eastAsia="黑体" w:cs="仿宋_GB2312"/>
          <w:bCs/>
          <w:color w:val="auto"/>
          <w:spacing w:val="-9"/>
          <w:sz w:val="32"/>
          <w:szCs w:val="32"/>
        </w:rPr>
      </w:pPr>
      <w:r>
        <w:rPr>
          <w:rFonts w:hint="eastAsia" w:ascii="黑体" w:hAnsi="黑体" w:eastAsia="黑体" w:cs="仿宋_GB2312"/>
          <w:bCs/>
          <w:color w:val="auto"/>
          <w:spacing w:val="-9"/>
          <w:sz w:val="32"/>
          <w:szCs w:val="32"/>
        </w:rPr>
        <w:t>第五章  监督管理</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第十三条</w:t>
      </w:r>
      <w:r>
        <w:rPr>
          <w:rFonts w:hint="eastAsia" w:ascii="仿宋_GB2312" w:hAnsi="仿宋_GB2312" w:eastAsia="仿宋_GB2312" w:cs="仿宋_GB2312"/>
          <w:color w:val="auto"/>
          <w:spacing w:val="-9"/>
          <w:sz w:val="32"/>
          <w:szCs w:val="32"/>
        </w:rPr>
        <w:t xml:space="preserve">  区、县（市）工信主管部门应及时将市企业技术中心所在企业发生</w:t>
      </w:r>
      <w:r>
        <w:rPr>
          <w:rFonts w:hint="eastAsia" w:ascii="仿宋_GB2312" w:hAnsi="仿宋_GB2312" w:eastAsia="仿宋_GB2312" w:cs="仿宋_GB2312"/>
          <w:color w:val="auto"/>
          <w:spacing w:val="-9"/>
          <w:sz w:val="32"/>
          <w:szCs w:val="32"/>
          <w:highlight w:val="none"/>
        </w:rPr>
        <w:t>更</w:t>
      </w:r>
      <w:r>
        <w:rPr>
          <w:rFonts w:hint="eastAsia" w:ascii="仿宋_GB2312" w:hAnsi="仿宋_GB2312" w:eastAsia="仿宋_GB2312" w:cs="仿宋_GB2312"/>
          <w:color w:val="auto"/>
          <w:spacing w:val="-9"/>
          <w:sz w:val="32"/>
          <w:szCs w:val="32"/>
        </w:rPr>
        <w:t>名、重组等变更情况报送市工信</w:t>
      </w:r>
      <w:r>
        <w:rPr>
          <w:rFonts w:hint="eastAsia" w:ascii="仿宋_GB2312" w:hAnsi="仿宋_GB2312" w:eastAsia="仿宋_GB2312" w:cs="仿宋_GB2312"/>
          <w:color w:val="auto"/>
          <w:spacing w:val="-9"/>
          <w:sz w:val="32"/>
          <w:szCs w:val="32"/>
          <w:lang w:val="en-US" w:eastAsia="zh-CN"/>
        </w:rPr>
        <w:t>局</w:t>
      </w:r>
      <w:r>
        <w:rPr>
          <w:rFonts w:hint="eastAsia" w:ascii="仿宋_GB2312" w:hAnsi="仿宋_GB2312" w:eastAsia="仿宋_GB2312" w:cs="仿宋_GB2312"/>
          <w:color w:val="auto"/>
          <w:spacing w:val="-9"/>
          <w:sz w:val="32"/>
          <w:szCs w:val="32"/>
        </w:rPr>
        <w:t>。</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第十四条</w:t>
      </w:r>
      <w:r>
        <w:rPr>
          <w:rFonts w:hint="eastAsia" w:ascii="仿宋_GB2312" w:hAnsi="仿宋_GB2312" w:eastAsia="仿宋_GB2312" w:cs="仿宋_GB2312"/>
          <w:color w:val="auto"/>
          <w:spacing w:val="-9"/>
          <w:sz w:val="32"/>
          <w:szCs w:val="32"/>
        </w:rPr>
        <w:t xml:space="preserve">  有下列情况之一的，撤销市企业技术中心资格：</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(一)运行评价不合格或</w:t>
      </w:r>
      <w:r>
        <w:rPr>
          <w:rFonts w:hint="eastAsia" w:ascii="仿宋_GB2312" w:hAnsi="仿宋_GB2312" w:eastAsia="仿宋_GB2312" w:cs="仿宋_GB2312"/>
          <w:color w:val="auto"/>
          <w:spacing w:val="-9"/>
          <w:sz w:val="32"/>
          <w:szCs w:val="32"/>
          <w:lang w:eastAsia="zh-CN"/>
        </w:rPr>
        <w:t>所在企业</w:t>
      </w:r>
      <w:r>
        <w:rPr>
          <w:rFonts w:hint="eastAsia" w:ascii="仿宋_GB2312" w:hAnsi="仿宋_GB2312" w:eastAsia="仿宋_GB2312" w:cs="仿宋_GB2312"/>
          <w:color w:val="auto"/>
          <w:spacing w:val="-9"/>
          <w:sz w:val="32"/>
          <w:szCs w:val="32"/>
        </w:rPr>
        <w:t>停产</w:t>
      </w:r>
      <w:r>
        <w:rPr>
          <w:rFonts w:hint="eastAsia" w:ascii="仿宋_GB2312" w:hAnsi="仿宋_GB2312" w:eastAsia="仿宋_GB2312" w:cs="仿宋_GB2312"/>
          <w:color w:val="auto"/>
          <w:spacing w:val="-9"/>
          <w:sz w:val="32"/>
          <w:szCs w:val="32"/>
          <w:lang w:val="en-US" w:eastAsia="zh-CN"/>
        </w:rPr>
        <w:t>2</w:t>
      </w:r>
      <w:r>
        <w:rPr>
          <w:rFonts w:hint="eastAsia" w:ascii="仿宋_GB2312" w:hAnsi="仿宋_GB2312" w:eastAsia="仿宋_GB2312" w:cs="仿宋_GB2312"/>
          <w:color w:val="auto"/>
          <w:spacing w:val="-9"/>
          <w:sz w:val="32"/>
          <w:szCs w:val="32"/>
        </w:rPr>
        <w:t>年以上的；</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(二)逾期未报送评价材料的；</w:t>
      </w:r>
      <w:r>
        <w:rPr>
          <w:rFonts w:hint="eastAsia" w:ascii="仿宋_GB2312" w:hAnsi="仿宋_GB2312" w:eastAsia="仿宋_GB2312" w:cs="仿宋_GB2312"/>
          <w:color w:val="auto"/>
          <w:spacing w:val="-9"/>
          <w:sz w:val="32"/>
          <w:szCs w:val="32"/>
        </w:rPr>
        <w:tab/>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(三)提供虚假材料和数据的；</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(四)主要由于技术原因发生重大质量、安全事故的；</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(五)因涉税违法被依法追究刑事责任的；</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(六)司法、行政机关认定的其他严重违法失信行为的；</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(七)企业被依法终止的。</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第十五条</w:t>
      </w:r>
      <w:r>
        <w:rPr>
          <w:rFonts w:hint="eastAsia" w:ascii="仿宋_GB2312" w:hAnsi="仿宋_GB2312" w:eastAsia="仿宋_GB2312" w:cs="仿宋_GB2312"/>
          <w:color w:val="auto"/>
          <w:spacing w:val="-9"/>
          <w:sz w:val="32"/>
          <w:szCs w:val="32"/>
        </w:rPr>
        <w:t xml:space="preserve">  因本办法第十四条第(一)</w:t>
      </w:r>
      <w:r>
        <w:rPr>
          <w:rFonts w:hint="eastAsia" w:ascii="仿宋_GB2312" w:hAnsi="仿宋_GB2312" w:eastAsia="仿宋_GB2312" w:cs="仿宋_GB2312"/>
          <w:color w:val="auto"/>
          <w:spacing w:val="-9"/>
          <w:sz w:val="32"/>
          <w:szCs w:val="32"/>
          <w:lang w:eastAsia="zh-CN"/>
        </w:rPr>
        <w:t>项所列原因</w:t>
      </w:r>
      <w:r>
        <w:rPr>
          <w:rFonts w:hint="eastAsia" w:ascii="仿宋_GB2312" w:hAnsi="仿宋_GB2312" w:eastAsia="仿宋_GB2312" w:cs="仿宋_GB2312"/>
          <w:color w:val="auto"/>
          <w:sz w:val="32"/>
          <w:szCs w:val="32"/>
          <w:lang w:val="en-US" w:eastAsia="zh-CN"/>
        </w:rPr>
        <w:t>拟撤销市企业技术中心资格的企业在公示期内递交停产说明及承诺尽快复工和完善技术中心建设等文件，在复工后可保留市企业技术中心资格；</w:t>
      </w:r>
      <w:r>
        <w:rPr>
          <w:rFonts w:hint="eastAsia" w:ascii="仿宋_GB2312" w:hAnsi="仿宋_GB2312" w:eastAsia="仿宋_GB2312" w:cs="仿宋_GB2312"/>
          <w:color w:val="auto"/>
          <w:spacing w:val="-9"/>
          <w:sz w:val="32"/>
          <w:szCs w:val="32"/>
        </w:rPr>
        <w:t>第十四条第(一)、(二)项所列原因被撤销市企业技术中心资格的，自撤销之日起两年内不得申报；第十四条第(三)至(六)项所列原因被撤销市企业技术中心资格的，自撤销之日起三年内不得申报。</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第十六条</w:t>
      </w:r>
      <w:r>
        <w:rPr>
          <w:rFonts w:hint="eastAsia" w:ascii="仿宋_GB2312" w:hAnsi="仿宋_GB2312" w:eastAsia="仿宋_GB2312" w:cs="仿宋_GB2312"/>
          <w:color w:val="auto"/>
          <w:spacing w:val="-9"/>
          <w:sz w:val="32"/>
          <w:szCs w:val="32"/>
        </w:rPr>
        <w:t xml:space="preserve">  市工信</w:t>
      </w:r>
      <w:r>
        <w:rPr>
          <w:rFonts w:hint="eastAsia" w:ascii="仿宋_GB2312" w:hAnsi="仿宋_GB2312" w:eastAsia="仿宋_GB2312" w:cs="仿宋_GB2312"/>
          <w:color w:val="auto"/>
          <w:spacing w:val="-9"/>
          <w:sz w:val="32"/>
          <w:szCs w:val="32"/>
          <w:lang w:val="en-US" w:eastAsia="zh-CN"/>
        </w:rPr>
        <w:t>局</w:t>
      </w:r>
      <w:r>
        <w:rPr>
          <w:rFonts w:hint="eastAsia" w:ascii="仿宋_GB2312" w:hAnsi="仿宋_GB2312" w:eastAsia="仿宋_GB2312" w:cs="仿宋_GB2312"/>
          <w:color w:val="auto"/>
          <w:spacing w:val="-9"/>
          <w:sz w:val="32"/>
          <w:szCs w:val="32"/>
        </w:rPr>
        <w:t>向区、县（市）工信主管部门通报市企业技术中心调整、撤销和更名结果。</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第六章  附则</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第十七条</w:t>
      </w:r>
      <w:r>
        <w:rPr>
          <w:rFonts w:hint="eastAsia" w:ascii="仿宋_GB2312" w:hAnsi="仿宋_GB2312" w:eastAsia="仿宋_GB2312" w:cs="仿宋_GB2312"/>
          <w:color w:val="auto"/>
          <w:spacing w:val="-9"/>
          <w:sz w:val="32"/>
          <w:szCs w:val="32"/>
        </w:rPr>
        <w:t xml:space="preserve">  区、县（市）工信</w:t>
      </w:r>
      <w:r>
        <w:rPr>
          <w:rFonts w:hint="eastAsia" w:ascii="仿宋_GB2312" w:hAnsi="仿宋_GB2312" w:eastAsia="仿宋_GB2312" w:cs="仿宋_GB2312"/>
          <w:color w:val="auto"/>
          <w:spacing w:val="-9"/>
          <w:sz w:val="32"/>
          <w:szCs w:val="32"/>
          <w:lang w:eastAsia="zh-CN"/>
        </w:rPr>
        <w:t>主管</w:t>
      </w:r>
      <w:r>
        <w:rPr>
          <w:rFonts w:hint="eastAsia" w:ascii="仿宋_GB2312" w:hAnsi="仿宋_GB2312" w:eastAsia="仿宋_GB2312" w:cs="仿宋_GB2312"/>
          <w:color w:val="auto"/>
          <w:spacing w:val="-9"/>
          <w:sz w:val="32"/>
          <w:szCs w:val="32"/>
        </w:rPr>
        <w:t>部门可参考本办法，</w:t>
      </w:r>
      <w:r>
        <w:rPr>
          <w:rFonts w:hint="eastAsia" w:ascii="仿宋_GB2312" w:hAnsi="仿宋_GB2312" w:eastAsia="仿宋_GB2312" w:cs="仿宋_GB2312"/>
          <w:color w:val="auto"/>
          <w:spacing w:val="-9"/>
          <w:sz w:val="32"/>
          <w:szCs w:val="32"/>
          <w:lang w:eastAsia="zh-CN"/>
        </w:rPr>
        <w:t>结合实际，在职责范围内依法</w:t>
      </w:r>
      <w:r>
        <w:rPr>
          <w:rFonts w:hint="eastAsia" w:ascii="仿宋_GB2312" w:hAnsi="仿宋_GB2312" w:eastAsia="仿宋_GB2312" w:cs="仿宋_GB2312"/>
          <w:color w:val="auto"/>
          <w:spacing w:val="-9"/>
          <w:sz w:val="32"/>
          <w:szCs w:val="32"/>
        </w:rPr>
        <w:t>制定支持企业技术中心发展</w:t>
      </w:r>
      <w:r>
        <w:rPr>
          <w:rFonts w:hint="eastAsia" w:ascii="仿宋_GB2312" w:hAnsi="仿宋_GB2312" w:eastAsia="仿宋_GB2312" w:cs="仿宋_GB2312"/>
          <w:color w:val="auto"/>
          <w:spacing w:val="-9"/>
          <w:sz w:val="32"/>
          <w:szCs w:val="32"/>
          <w:lang w:eastAsia="zh-CN"/>
        </w:rPr>
        <w:t>的相应</w:t>
      </w:r>
      <w:r>
        <w:rPr>
          <w:rFonts w:hint="eastAsia" w:ascii="仿宋_GB2312" w:hAnsi="仿宋_GB2312" w:eastAsia="仿宋_GB2312" w:cs="仿宋_GB2312"/>
          <w:color w:val="auto"/>
          <w:spacing w:val="-9"/>
          <w:sz w:val="32"/>
          <w:szCs w:val="32"/>
        </w:rPr>
        <w:t xml:space="preserve">政策。 </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第十八条</w:t>
      </w:r>
      <w:r>
        <w:rPr>
          <w:rFonts w:hint="eastAsia" w:ascii="仿宋_GB2312" w:hAnsi="仿宋_GB2312" w:eastAsia="仿宋_GB2312" w:cs="仿宋_GB2312"/>
          <w:color w:val="auto"/>
          <w:spacing w:val="-9"/>
          <w:sz w:val="32"/>
          <w:szCs w:val="32"/>
        </w:rPr>
        <w:t xml:space="preserve">  依据《中华人民共和国政府信息公开条例》，市企业技术中心认定的相关信息向社会公开。</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第十九条</w:t>
      </w:r>
      <w:r>
        <w:rPr>
          <w:rFonts w:hint="eastAsia" w:ascii="仿宋_GB2312" w:hAnsi="仿宋_GB2312" w:eastAsia="仿宋_GB2312" w:cs="仿宋_GB2312"/>
          <w:color w:val="auto"/>
          <w:spacing w:val="-9"/>
          <w:sz w:val="32"/>
          <w:szCs w:val="32"/>
        </w:rPr>
        <w:t xml:space="preserve">  </w:t>
      </w:r>
      <w:r>
        <w:rPr>
          <w:rFonts w:hint="eastAsia" w:ascii="仿宋_GB2312" w:hAnsi="仿宋_GB2312" w:eastAsia="仿宋_GB2312" w:cs="仿宋_GB2312"/>
          <w:color w:val="auto"/>
          <w:spacing w:val="-9"/>
          <w:sz w:val="32"/>
          <w:szCs w:val="32"/>
          <w:highlight w:val="none"/>
        </w:rPr>
        <w:t>本办法自发布之日起施行，</w:t>
      </w:r>
      <w:r>
        <w:rPr>
          <w:rFonts w:hint="eastAsia" w:ascii="仿宋_GB2312" w:hAnsi="仿宋_GB2312" w:eastAsia="仿宋_GB2312" w:cs="仿宋_GB2312"/>
          <w:b w:val="0"/>
          <w:i w:val="0"/>
          <w:snapToGrid/>
          <w:color w:val="auto"/>
          <w:sz w:val="32"/>
          <w:szCs w:val="32"/>
          <w:highlight w:val="none"/>
          <w:shd w:val="clear" w:color="auto" w:fill="FFFFFF"/>
          <w:lang w:val="en-US" w:eastAsia="zh-CN"/>
        </w:rPr>
        <w:t>《哈尔滨市企业技术中心认定管理办法》（哈工信规〔2019〕3号）</w:t>
      </w:r>
      <w:r>
        <w:rPr>
          <w:rFonts w:hint="eastAsia" w:ascii="仿宋_GB2312" w:hAnsi="仿宋_GB2312" w:eastAsia="仿宋_GB2312" w:cs="仿宋_GB2312"/>
          <w:color w:val="auto"/>
          <w:spacing w:val="-9"/>
          <w:sz w:val="32"/>
          <w:szCs w:val="32"/>
          <w:highlight w:val="none"/>
        </w:rPr>
        <w:t>同时废止。</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第二十条</w:t>
      </w:r>
      <w:r>
        <w:rPr>
          <w:rFonts w:hint="eastAsia" w:ascii="仿宋_GB2312" w:hAnsi="仿宋_GB2312" w:eastAsia="仿宋_GB2312" w:cs="仿宋_GB2312"/>
          <w:color w:val="auto"/>
          <w:spacing w:val="-9"/>
          <w:sz w:val="32"/>
          <w:szCs w:val="32"/>
        </w:rPr>
        <w:t xml:space="preserve">  本办法由市工信</w:t>
      </w:r>
      <w:r>
        <w:rPr>
          <w:rFonts w:hint="eastAsia" w:ascii="仿宋_GB2312" w:hAnsi="仿宋_GB2312" w:eastAsia="仿宋_GB2312" w:cs="仿宋_GB2312"/>
          <w:color w:val="auto"/>
          <w:spacing w:val="-9"/>
          <w:sz w:val="32"/>
          <w:szCs w:val="32"/>
          <w:lang w:val="en-US" w:eastAsia="zh-CN"/>
        </w:rPr>
        <w:t>局</w:t>
      </w:r>
      <w:r>
        <w:rPr>
          <w:rFonts w:hint="eastAsia" w:ascii="仿宋_GB2312" w:hAnsi="仿宋_GB2312" w:eastAsia="仿宋_GB2312" w:cs="仿宋_GB2312"/>
          <w:color w:val="auto"/>
          <w:spacing w:val="-9"/>
          <w:sz w:val="32"/>
          <w:szCs w:val="32"/>
        </w:rPr>
        <w:t>负责解释。</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spacing w:val="-9"/>
          <w:sz w:val="32"/>
          <w:szCs w:val="32"/>
        </w:rPr>
      </w:pP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附件：1.哈尔滨市企业技术中心认定评价工作说明</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w:t>
      </w:r>
      <w:r>
        <w:rPr>
          <w:rFonts w:hint="eastAsia" w:ascii="仿宋_GB2312" w:hAnsi="仿宋_GB2312" w:eastAsia="仿宋_GB2312" w:cs="仿宋_GB2312"/>
          <w:color w:val="auto"/>
          <w:kern w:val="0"/>
          <w:sz w:val="32"/>
          <w:szCs w:val="32"/>
          <w:lang w:eastAsia="zh-CN"/>
        </w:rPr>
        <w:t>《哈尔滨</w:t>
      </w:r>
      <w:r>
        <w:rPr>
          <w:rFonts w:hint="eastAsia" w:ascii="仿宋_GB2312" w:hAnsi="仿宋_GB2312" w:eastAsia="仿宋_GB2312" w:cs="仿宋_GB2312"/>
          <w:color w:val="auto"/>
          <w:kern w:val="0"/>
          <w:sz w:val="32"/>
          <w:szCs w:val="32"/>
        </w:rPr>
        <w:t>市企业技术中心申请</w:t>
      </w:r>
      <w:r>
        <w:rPr>
          <w:rFonts w:hint="eastAsia" w:ascii="仿宋_GB2312" w:hAnsi="仿宋_GB2312" w:eastAsia="仿宋_GB2312" w:cs="仿宋_GB2312"/>
          <w:color w:val="auto"/>
          <w:kern w:val="0"/>
          <w:sz w:val="32"/>
          <w:szCs w:val="32"/>
          <w:lang w:eastAsia="zh-CN"/>
        </w:rPr>
        <w:t>报告》</w:t>
      </w:r>
      <w:r>
        <w:rPr>
          <w:rFonts w:hint="eastAsia" w:ascii="仿宋_GB2312" w:hAnsi="仿宋_GB2312" w:eastAsia="仿宋_GB2312" w:cs="仿宋_GB2312"/>
          <w:color w:val="auto"/>
          <w:kern w:val="0"/>
          <w:sz w:val="32"/>
          <w:szCs w:val="32"/>
        </w:rPr>
        <w:t>编写提纲</w:t>
      </w:r>
    </w:p>
    <w:p>
      <w:pPr>
        <w:keepNext w:val="0"/>
        <w:keepLines w:val="0"/>
        <w:pageBreakBefore w:val="0"/>
        <w:kinsoku/>
        <w:wordWrap/>
        <w:overflowPunct/>
        <w:topLinePunct w:val="0"/>
        <w:autoSpaceDE/>
        <w:autoSpaceDN/>
        <w:bidi w:val="0"/>
        <w:adjustRightInd/>
        <w:snapToGrid w:val="0"/>
        <w:spacing w:line="600" w:lineRule="exact"/>
        <w:ind w:firstLine="568"/>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3.</w:t>
      </w:r>
      <w:r>
        <w:rPr>
          <w:rFonts w:hint="eastAsia" w:ascii="仿宋_GB2312" w:hAnsi="仿宋_GB2312" w:eastAsia="仿宋_GB2312" w:cs="仿宋_GB2312"/>
          <w:color w:val="auto"/>
          <w:kern w:val="0"/>
          <w:sz w:val="32"/>
          <w:szCs w:val="32"/>
          <w:lang w:eastAsia="zh-CN"/>
        </w:rPr>
        <w:t>哈尔滨</w:t>
      </w:r>
      <w:r>
        <w:rPr>
          <w:rFonts w:hint="eastAsia" w:ascii="仿宋_GB2312" w:hAnsi="仿宋_GB2312" w:eastAsia="仿宋_GB2312" w:cs="仿宋_GB2312"/>
          <w:color w:val="auto"/>
          <w:kern w:val="0"/>
          <w:sz w:val="32"/>
          <w:szCs w:val="32"/>
        </w:rPr>
        <w:t>市企业技术中心评价材料</w:t>
      </w:r>
    </w:p>
    <w:p>
      <w:pPr>
        <w:keepNext w:val="0"/>
        <w:keepLines w:val="0"/>
        <w:pageBreakBefore w:val="0"/>
        <w:kinsoku/>
        <w:wordWrap/>
        <w:overflowPunct/>
        <w:topLinePunct w:val="0"/>
        <w:autoSpaceDE/>
        <w:autoSpaceDN/>
        <w:bidi w:val="0"/>
        <w:adjustRightInd/>
        <w:snapToGrid w:val="0"/>
        <w:spacing w:line="600" w:lineRule="exact"/>
        <w:ind w:firstLine="1523" w:firstLineChars="476"/>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哈尔滨</w:t>
      </w:r>
      <w:r>
        <w:rPr>
          <w:rFonts w:hint="eastAsia" w:ascii="仿宋_GB2312" w:hAnsi="仿宋_GB2312" w:eastAsia="仿宋_GB2312" w:cs="仿宋_GB2312"/>
          <w:color w:val="auto"/>
          <w:kern w:val="0"/>
          <w:sz w:val="32"/>
          <w:szCs w:val="32"/>
        </w:rPr>
        <w:t>市企业技术中心</w:t>
      </w:r>
      <w:r>
        <w:rPr>
          <w:rFonts w:hint="eastAsia" w:ascii="仿宋_GB2312" w:hAnsi="仿宋_GB2312" w:eastAsia="仿宋_GB2312" w:cs="仿宋_GB2312"/>
          <w:color w:val="auto"/>
          <w:kern w:val="0"/>
          <w:sz w:val="32"/>
          <w:szCs w:val="32"/>
          <w:lang w:eastAsia="zh-CN"/>
        </w:rPr>
        <w:t>工作总结</w:t>
      </w:r>
      <w:r>
        <w:rPr>
          <w:rFonts w:hint="eastAsia" w:ascii="仿宋_GB2312" w:hAnsi="仿宋_GB2312" w:eastAsia="仿宋_GB2312" w:cs="仿宋_GB2312"/>
          <w:color w:val="auto"/>
          <w:kern w:val="0"/>
          <w:sz w:val="32"/>
          <w:szCs w:val="32"/>
          <w:lang w:val="en-US" w:eastAsia="zh-CN"/>
        </w:rPr>
        <w:t>》提纲</w:t>
      </w:r>
    </w:p>
    <w:p>
      <w:pPr>
        <w:keepNext w:val="0"/>
        <w:keepLines w:val="0"/>
        <w:pageBreakBefore w:val="0"/>
        <w:kinsoku/>
        <w:wordWrap/>
        <w:overflowPunct/>
        <w:topLinePunct w:val="0"/>
        <w:autoSpaceDE/>
        <w:autoSpaceDN/>
        <w:bidi w:val="0"/>
        <w:adjustRightInd/>
        <w:snapToGrid w:val="0"/>
        <w:spacing w:line="600" w:lineRule="exact"/>
        <w:ind w:firstLine="1523" w:firstLineChars="476"/>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spacing w:val="-9"/>
          <w:sz w:val="32"/>
          <w:szCs w:val="32"/>
          <w:lang w:eastAsia="zh-CN"/>
        </w:rPr>
        <w:t>哈尔滨</w:t>
      </w:r>
      <w:r>
        <w:rPr>
          <w:rFonts w:hint="eastAsia" w:ascii="仿宋_GB2312" w:hAnsi="仿宋_GB2312" w:eastAsia="仿宋_GB2312" w:cs="仿宋_GB2312"/>
          <w:color w:val="auto"/>
          <w:spacing w:val="-9"/>
          <w:sz w:val="32"/>
          <w:szCs w:val="32"/>
        </w:rPr>
        <w:t>市企业技术中心</w:t>
      </w:r>
      <w:r>
        <w:rPr>
          <w:rFonts w:hint="eastAsia" w:ascii="仿宋_GB2312" w:hAnsi="仿宋_GB2312" w:eastAsia="仿宋_GB2312" w:cs="仿宋_GB2312"/>
          <w:color w:val="auto"/>
          <w:spacing w:val="-9"/>
          <w:sz w:val="32"/>
          <w:szCs w:val="32"/>
          <w:lang w:eastAsia="zh-CN"/>
        </w:rPr>
        <w:t>评价指标体系</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cs="仿宋_GB2312"/>
          <w:color w:val="auto"/>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黑体" w:eastAsia="黑体" w:cs="黑体"/>
          <w:color w:val="auto"/>
          <w:highlight w:val="magenta"/>
        </w:rPr>
      </w:pPr>
      <w:r>
        <w:rPr>
          <w:rFonts w:hint="eastAsia" w:ascii="仿宋_GB2312" w:hAnsi="仿宋_GB2312" w:cs="仿宋_GB2312"/>
          <w:color w:val="auto"/>
          <w:sz w:val="32"/>
          <w:szCs w:val="32"/>
        </w:rPr>
        <w:br w:type="page"/>
      </w:r>
      <w:r>
        <w:rPr>
          <w:rFonts w:hint="eastAsia" w:ascii="黑体" w:hAnsi="黑体" w:eastAsia="黑体" w:cs="黑体"/>
          <w:color w:val="auto"/>
          <w:sz w:val="32"/>
          <w:szCs w:val="32"/>
          <w:highlight w:val="none"/>
        </w:rPr>
        <w:t>附件1</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cs="仿宋_GB2312"/>
          <w:color w:val="auto"/>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哈尔滨市企业技术中心</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认定评价工作说明</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rPr>
      </w:pPr>
      <w:r>
        <w:rPr>
          <w:rFonts w:hint="eastAsia" w:ascii="仿宋_GB2312" w:hAnsi="仿宋_GB2312" w:cs="仿宋_GB2312"/>
          <w:color w:val="auto"/>
        </w:rPr>
        <w:t xml:space="preserve">    </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市企业技术中心的企业，需根据《管理办法》和当年通知</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编制申请材料。</w:t>
      </w:r>
      <w:r>
        <w:rPr>
          <w:rFonts w:hint="eastAsia" w:ascii="仿宋_GB2312" w:hAnsi="仿宋_GB2312" w:eastAsia="仿宋_GB2312" w:cs="仿宋_GB2312"/>
          <w:color w:val="auto"/>
          <w:spacing w:val="-9"/>
          <w:kern w:val="0"/>
          <w:sz w:val="32"/>
          <w:szCs w:val="32"/>
        </w:rPr>
        <w:t>申请材料</w:t>
      </w:r>
      <w:r>
        <w:rPr>
          <w:rFonts w:hint="eastAsia" w:ascii="仿宋_GB2312" w:hAnsi="仿宋_GB2312" w:eastAsia="仿宋_GB2312" w:cs="仿宋_GB2312"/>
          <w:color w:val="auto"/>
          <w:spacing w:val="-9"/>
          <w:kern w:val="0"/>
          <w:sz w:val="32"/>
          <w:szCs w:val="32"/>
          <w:lang w:eastAsia="zh-CN"/>
        </w:rPr>
        <w:t>内容应</w:t>
      </w:r>
      <w:r>
        <w:rPr>
          <w:rFonts w:hint="eastAsia" w:ascii="仿宋_GB2312" w:hAnsi="仿宋_GB2312" w:eastAsia="仿宋_GB2312" w:cs="仿宋_GB2312"/>
          <w:color w:val="auto"/>
          <w:spacing w:val="-9"/>
          <w:kern w:val="0"/>
          <w:sz w:val="32"/>
          <w:szCs w:val="32"/>
        </w:rPr>
        <w:t>包括企业申请报告</w:t>
      </w:r>
      <w:r>
        <w:rPr>
          <w:rFonts w:hint="eastAsia" w:ascii="仿宋_GB2312" w:hAnsi="仿宋_GB2312" w:eastAsia="仿宋_GB2312" w:cs="仿宋_GB2312"/>
          <w:color w:val="auto"/>
          <w:spacing w:val="-9"/>
          <w:kern w:val="0"/>
          <w:sz w:val="32"/>
          <w:szCs w:val="32"/>
          <w:lang w:eastAsia="zh-CN"/>
        </w:rPr>
        <w:t>（见附件</w:t>
      </w:r>
      <w:r>
        <w:rPr>
          <w:rFonts w:hint="eastAsia" w:ascii="仿宋_GB2312" w:hAnsi="仿宋_GB2312" w:eastAsia="仿宋_GB2312" w:cs="仿宋_GB2312"/>
          <w:color w:val="auto"/>
          <w:spacing w:val="-9"/>
          <w:kern w:val="0"/>
          <w:sz w:val="32"/>
          <w:szCs w:val="32"/>
          <w:lang w:val="en-US" w:eastAsia="zh-CN"/>
        </w:rPr>
        <w:t>2</w:t>
      </w:r>
      <w:r>
        <w:rPr>
          <w:rFonts w:hint="eastAsia" w:ascii="仿宋_GB2312" w:hAnsi="仿宋_GB2312" w:eastAsia="仿宋_GB2312" w:cs="仿宋_GB2312"/>
          <w:color w:val="auto"/>
          <w:spacing w:val="-9"/>
          <w:kern w:val="0"/>
          <w:sz w:val="32"/>
          <w:szCs w:val="32"/>
          <w:lang w:eastAsia="zh-CN"/>
        </w:rPr>
        <w:t>）、评价数据</w:t>
      </w:r>
      <w:r>
        <w:rPr>
          <w:rFonts w:hint="eastAsia" w:ascii="仿宋_GB2312" w:hAnsi="仿宋_GB2312" w:eastAsia="仿宋_GB2312" w:cs="仿宋_GB2312"/>
          <w:color w:val="auto"/>
          <w:spacing w:val="-9"/>
          <w:kern w:val="0"/>
          <w:sz w:val="32"/>
          <w:szCs w:val="32"/>
        </w:rPr>
        <w:t>表</w:t>
      </w:r>
      <w:r>
        <w:rPr>
          <w:rFonts w:hint="eastAsia" w:ascii="仿宋_GB2312" w:hAnsi="仿宋_GB2312" w:eastAsia="仿宋_GB2312" w:cs="仿宋_GB2312"/>
          <w:color w:val="auto"/>
          <w:spacing w:val="-9"/>
          <w:kern w:val="0"/>
          <w:sz w:val="32"/>
          <w:szCs w:val="32"/>
          <w:lang w:eastAsia="zh-CN"/>
        </w:rPr>
        <w:t>和需提供的附件及佐证材料（见附件</w:t>
      </w:r>
      <w:r>
        <w:rPr>
          <w:rFonts w:hint="eastAsia" w:ascii="仿宋_GB2312" w:hAnsi="仿宋_GB2312" w:eastAsia="仿宋_GB2312" w:cs="仿宋_GB2312"/>
          <w:color w:val="auto"/>
          <w:spacing w:val="-9"/>
          <w:kern w:val="0"/>
          <w:sz w:val="32"/>
          <w:szCs w:val="32"/>
          <w:lang w:val="en-US" w:eastAsia="zh-CN"/>
        </w:rPr>
        <w:t>3</w:t>
      </w:r>
      <w:r>
        <w:rPr>
          <w:rFonts w:hint="eastAsia" w:ascii="仿宋_GB2312" w:hAnsi="仿宋_GB2312" w:eastAsia="仿宋_GB2312" w:cs="仿宋_GB2312"/>
          <w:color w:val="auto"/>
          <w:spacing w:val="-9"/>
          <w:kern w:val="0"/>
          <w:sz w:val="32"/>
          <w:szCs w:val="32"/>
          <w:lang w:eastAsia="zh-CN"/>
        </w:rPr>
        <w:t>）</w:t>
      </w:r>
      <w:r>
        <w:rPr>
          <w:rFonts w:hint="eastAsia" w:ascii="仿宋_GB2312" w:hAnsi="仿宋_GB2312" w:eastAsia="仿宋_GB2312" w:cs="仿宋_GB2312"/>
          <w:color w:val="auto"/>
          <w:spacing w:val="-9"/>
          <w:kern w:val="0"/>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2.已认定的市企业技术中心，</w:t>
      </w:r>
      <w:r>
        <w:rPr>
          <w:rFonts w:hint="eastAsia" w:ascii="仿宋_GB2312" w:hAnsi="仿宋_GB2312" w:eastAsia="仿宋_GB2312" w:cs="仿宋_GB2312"/>
          <w:color w:val="auto"/>
          <w:sz w:val="32"/>
          <w:szCs w:val="32"/>
          <w:lang w:eastAsia="zh-CN"/>
        </w:rPr>
        <w:t>需按要求每年</w:t>
      </w:r>
      <w:r>
        <w:rPr>
          <w:rFonts w:hint="eastAsia" w:ascii="仿宋_GB2312" w:hAnsi="仿宋_GB2312" w:eastAsia="仿宋_GB2312" w:cs="仿宋_GB2312"/>
          <w:color w:val="auto"/>
          <w:spacing w:val="-9"/>
          <w:sz w:val="32"/>
          <w:szCs w:val="32"/>
          <w:highlight w:val="none"/>
          <w:lang w:val="en-US" w:eastAsia="zh-CN"/>
        </w:rPr>
        <w:t>登录哈尔滨工业企业服务系统（http://iem.harbin.gov.cn）</w:t>
      </w:r>
      <w:r>
        <w:rPr>
          <w:rFonts w:hint="eastAsia" w:ascii="仿宋_GB2312" w:hAnsi="仿宋_GB2312" w:eastAsia="仿宋_GB2312" w:cs="仿宋_GB2312"/>
          <w:color w:val="auto"/>
          <w:spacing w:val="-9"/>
          <w:sz w:val="32"/>
          <w:szCs w:val="32"/>
          <w:highlight w:val="none"/>
        </w:rPr>
        <w:t>网上填报年度报表</w:t>
      </w:r>
      <w:r>
        <w:rPr>
          <w:rFonts w:hint="eastAsia" w:ascii="仿宋_GB2312" w:hAnsi="仿宋_GB2312" w:eastAsia="仿宋_GB2312" w:cs="仿宋_GB2312"/>
          <w:color w:val="auto"/>
          <w:spacing w:val="-9"/>
          <w:sz w:val="32"/>
          <w:szCs w:val="32"/>
          <w:highlight w:val="none"/>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sectPr>
          <w:footerReference r:id="rId9" w:type="default"/>
          <w:footerReference r:id="rId10" w:type="even"/>
          <w:pgSz w:w="11906" w:h="16838"/>
          <w:pgMar w:top="2098" w:right="1531" w:bottom="1985" w:left="1531" w:header="851" w:footer="992" w:gutter="0"/>
          <w:pgBorders>
            <w:top w:val="none" w:sz="0" w:space="0"/>
            <w:left w:val="none" w:sz="0" w:space="0"/>
            <w:bottom w:val="none" w:sz="0" w:space="0"/>
            <w:right w:val="none" w:sz="0" w:space="0"/>
          </w:pgBorders>
          <w:cols w:space="720" w:num="1"/>
          <w:docGrid w:type="lines" w:linePitch="289" w:charSpace="0"/>
        </w:sectPr>
      </w:pPr>
      <w:r>
        <w:rPr>
          <w:rFonts w:hint="eastAsia" w:ascii="仿宋_GB2312" w:hAnsi="仿宋_GB2312" w:eastAsia="仿宋_GB2312" w:cs="仿宋_GB2312"/>
          <w:color w:val="auto"/>
          <w:sz w:val="32"/>
          <w:szCs w:val="32"/>
        </w:rPr>
        <w:t>3.已认定的市企业技术中心，需参加两年一次的运行评价并编制评价材料。评价材料内容包括</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哈尔滨</w:t>
      </w:r>
      <w:r>
        <w:rPr>
          <w:rFonts w:hint="eastAsia" w:ascii="仿宋_GB2312" w:hAnsi="仿宋_GB2312" w:eastAsia="仿宋_GB2312" w:cs="仿宋_GB2312"/>
          <w:color w:val="auto"/>
          <w:kern w:val="0"/>
          <w:sz w:val="32"/>
          <w:szCs w:val="32"/>
        </w:rPr>
        <w:t>市企业技术中心</w:t>
      </w:r>
      <w:r>
        <w:rPr>
          <w:rFonts w:hint="eastAsia" w:ascii="仿宋_GB2312" w:hAnsi="仿宋_GB2312" w:eastAsia="仿宋_GB2312" w:cs="仿宋_GB2312"/>
          <w:color w:val="auto"/>
          <w:kern w:val="0"/>
          <w:sz w:val="32"/>
          <w:szCs w:val="32"/>
          <w:lang w:eastAsia="zh-CN"/>
        </w:rPr>
        <w:t>工作总结</w:t>
      </w:r>
      <w:r>
        <w:rPr>
          <w:rFonts w:hint="eastAsia" w:ascii="仿宋_GB2312" w:hAnsi="仿宋_GB2312" w:eastAsia="仿宋_GB2312" w:cs="仿宋_GB2312"/>
          <w:color w:val="auto"/>
          <w:kern w:val="0"/>
          <w:sz w:val="32"/>
          <w:szCs w:val="32"/>
          <w:lang w:val="en-US" w:eastAsia="zh-CN"/>
        </w:rPr>
        <w:t>》（见附件4）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评价指标体系</w:t>
      </w:r>
      <w:r>
        <w:rPr>
          <w:rFonts w:hint="eastAsia" w:ascii="仿宋_GB2312" w:hAnsi="仿宋_GB2312" w:eastAsia="仿宋_GB2312" w:cs="仿宋_GB2312"/>
          <w:color w:val="auto"/>
          <w:sz w:val="32"/>
          <w:szCs w:val="32"/>
          <w:highlight w:val="none"/>
          <w:lang w:eastAsia="zh-CN"/>
        </w:rPr>
        <w:t>（见附件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9"/>
          <w:kern w:val="0"/>
          <w:sz w:val="32"/>
          <w:szCs w:val="32"/>
          <w:lang w:eastAsia="zh-CN"/>
        </w:rPr>
        <w:t>评价数据</w:t>
      </w:r>
      <w:r>
        <w:rPr>
          <w:rFonts w:hint="eastAsia" w:ascii="仿宋_GB2312" w:hAnsi="仿宋_GB2312" w:eastAsia="仿宋_GB2312" w:cs="仿宋_GB2312"/>
          <w:color w:val="auto"/>
          <w:spacing w:val="-9"/>
          <w:kern w:val="0"/>
          <w:sz w:val="32"/>
          <w:szCs w:val="32"/>
        </w:rPr>
        <w:t>表</w:t>
      </w:r>
      <w:r>
        <w:rPr>
          <w:rFonts w:hint="eastAsia" w:ascii="仿宋_GB2312" w:hAnsi="仿宋_GB2312" w:eastAsia="仿宋_GB2312" w:cs="仿宋_GB2312"/>
          <w:color w:val="auto"/>
          <w:spacing w:val="-9"/>
          <w:kern w:val="0"/>
          <w:sz w:val="32"/>
          <w:szCs w:val="32"/>
          <w:lang w:eastAsia="zh-CN"/>
        </w:rPr>
        <w:t>和需提供的附件及佐证材料（见附件</w:t>
      </w:r>
      <w:r>
        <w:rPr>
          <w:rFonts w:hint="eastAsia" w:ascii="仿宋_GB2312" w:hAnsi="仿宋_GB2312" w:eastAsia="仿宋_GB2312" w:cs="仿宋_GB2312"/>
          <w:color w:val="auto"/>
          <w:spacing w:val="-9"/>
          <w:kern w:val="0"/>
          <w:sz w:val="32"/>
          <w:szCs w:val="32"/>
          <w:lang w:val="en-US" w:eastAsia="zh-CN"/>
        </w:rPr>
        <w:t>3</w:t>
      </w:r>
      <w:r>
        <w:rPr>
          <w:rFonts w:hint="eastAsia" w:ascii="仿宋_GB2312" w:hAnsi="仿宋_GB2312" w:eastAsia="仿宋_GB2312" w:cs="仿宋_GB2312"/>
          <w:color w:val="auto"/>
          <w:spacing w:val="-9"/>
          <w:kern w:val="0"/>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cs="仿宋_GB2312"/>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color w:val="auto"/>
          <w:sz w:val="52"/>
          <w:szCs w:val="52"/>
        </w:rPr>
      </w:pPr>
      <w:r>
        <w:rPr>
          <w:rFonts w:hint="eastAsia" w:ascii="方正小标宋简体" w:eastAsia="方正小标宋简体"/>
          <w:b w:val="0"/>
          <w:bCs/>
          <w:color w:val="auto"/>
          <w:sz w:val="52"/>
          <w:szCs w:val="52"/>
        </w:rPr>
        <w:t>哈尔滨市企业技术中心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color w:val="auto"/>
          <w:sz w:val="52"/>
          <w:szCs w:val="52"/>
        </w:rPr>
      </w:pPr>
      <w:r>
        <w:rPr>
          <w:rFonts w:hint="eastAsia" w:ascii="方正小标宋简体" w:eastAsia="方正小标宋简体"/>
          <w:b w:val="0"/>
          <w:bCs/>
          <w:color w:val="auto"/>
          <w:sz w:val="52"/>
          <w:szCs w:val="52"/>
          <w:lang w:eastAsia="zh-CN"/>
        </w:rPr>
        <w:t>认定</w:t>
      </w:r>
      <w:r>
        <w:rPr>
          <w:rFonts w:hint="eastAsia" w:ascii="方正小标宋简体" w:eastAsia="方正小标宋简体"/>
          <w:b w:val="0"/>
          <w:bCs/>
          <w:color w:val="auto"/>
          <w:sz w:val="52"/>
          <w:szCs w:val="52"/>
        </w:rPr>
        <w:t>申请材料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申报单位属地：            区、县（市）</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申报单位名称：           （盖章）</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申报单位地址：</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申报单位联系人：        </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电子邮箱：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申 报 </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       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eastAsia="zh-CN"/>
        </w:rPr>
        <w:t>《哈尔滨</w:t>
      </w:r>
      <w:r>
        <w:rPr>
          <w:rFonts w:hint="eastAsia" w:ascii="方正小标宋简体" w:hAnsi="方正小标宋简体" w:eastAsia="方正小标宋简体" w:cs="方正小标宋简体"/>
          <w:color w:val="auto"/>
          <w:kern w:val="0"/>
          <w:sz w:val="44"/>
          <w:szCs w:val="44"/>
        </w:rPr>
        <w:t>市企业技术中心申请</w:t>
      </w:r>
      <w:r>
        <w:rPr>
          <w:rFonts w:hint="eastAsia" w:ascii="方正小标宋简体" w:hAnsi="方正小标宋简体" w:eastAsia="方正小标宋简体" w:cs="方正小标宋简体"/>
          <w:color w:val="auto"/>
          <w:kern w:val="0"/>
          <w:sz w:val="44"/>
          <w:szCs w:val="44"/>
          <w:lang w:eastAsia="zh-CN"/>
        </w:rPr>
        <w:t>报告》</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rPr>
        <w:t>编写提纲</w:t>
      </w:r>
    </w:p>
    <w:p>
      <w:pPr>
        <w:keepNext w:val="0"/>
        <w:keepLines w:val="0"/>
        <w:pageBreakBefore w:val="0"/>
        <w:kinsoku/>
        <w:wordWrap/>
        <w:overflowPunct/>
        <w:topLinePunct w:val="0"/>
        <w:autoSpaceDE/>
        <w:autoSpaceDN/>
        <w:bidi w:val="0"/>
        <w:adjustRightInd/>
        <w:spacing w:line="600" w:lineRule="exact"/>
        <w:ind w:firstLine="420" w:firstLineChars="200"/>
        <w:textAlignment w:val="auto"/>
        <w:rPr>
          <w:rFonts w:hint="eastAsia" w:ascii="仿宋_GB2312" w:hAnsi="仿宋_GB2312" w:cs="仿宋_GB2312"/>
          <w:color w:val="auto"/>
        </w:rPr>
      </w:pP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企业的地位与作用</w:t>
      </w: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1.企业基本情况。包括所有制性质、职工人数、企业总资产、资产负债率、银行信用等级、销售收入、利润、主导产品及市场占有率等。</w:t>
      </w: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2.企业的行业地位和竞争力。结合行业集中度和企业在行业中的综合排序，分析企业在本行业的地位和竞争优势，与国内同行业企业相比所具有的规模和技术优势。</w:t>
      </w: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3.企业对本行业技术创新的推动作用。包括企业对行业技术进步、结构调整、节能减排、资源综合利用等方面的</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情况。</w:t>
      </w: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企业技术创新的现状与成绩</w:t>
      </w: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1.企业技术中心基本情况。包括企业技术中心的建设与发展历程、组织</w:t>
      </w:r>
      <w:r>
        <w:rPr>
          <w:rFonts w:hint="eastAsia" w:ascii="仿宋_GB2312" w:hAnsi="仿宋_GB2312" w:eastAsia="仿宋_GB2312" w:cs="仿宋_GB2312"/>
          <w:color w:val="auto"/>
          <w:sz w:val="32"/>
          <w:szCs w:val="32"/>
          <w:lang w:eastAsia="zh-CN"/>
        </w:rPr>
        <w:t>架构</w:t>
      </w:r>
      <w:r>
        <w:rPr>
          <w:rFonts w:hint="eastAsia" w:ascii="仿宋_GB2312" w:hAnsi="仿宋_GB2312" w:eastAsia="仿宋_GB2312" w:cs="仿宋_GB2312"/>
          <w:color w:val="auto"/>
          <w:sz w:val="32"/>
          <w:szCs w:val="32"/>
        </w:rPr>
        <w:t>；创新体系建设和运行机制，包括组织管理体系建设、规章制度建立、研发项目组织管理机制、研发经费管理机制、人才激励机制、内外部合作机制等。</w:t>
      </w: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2.企业技术中心创新资源整合情况。包括企业技术中心技术带头人及创新团队建设情况、研发经费投入情况、研究开发和试验基础条件建设情况、信息化建设等情况。</w:t>
      </w: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3.企业技术中心研究开发工作开展情况。包括产品创新、工艺创新、商业模式创新、产学研合作、企业间合作、国际化研发活动等。</w:t>
      </w: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4.企业技术中心取得的主要成果。形成的核心技术及自主知识产权情况，重点介绍相关技术成果对企业核心产品研发、核心竞争力提升的支撑作用，以及取得的经济社会效益。</w:t>
      </w: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企业技术创新战略和规划</w:t>
      </w: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1.企业制定未来5年技术创新发展战略情况，该创新战略对企业总体目标的支撑情况。</w:t>
      </w:r>
    </w:p>
    <w:p>
      <w:pPr>
        <w:pStyle w:val="7"/>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2.企业近期在技术创新方面拟实施的重点举措，包括创新条件建设、创新人才集聚、重点研发项目部署等。</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cs="仿宋_GB2312"/>
          <w:color w:val="auto"/>
        </w:rPr>
      </w:pPr>
      <w:r>
        <w:rPr>
          <w:rFonts w:hint="eastAsia" w:ascii="仿宋_GB2312" w:hAnsi="仿宋_GB2312" w:cs="仿宋_GB2312"/>
          <w:color w:val="auto"/>
          <w:sz w:val="32"/>
          <w:szCs w:val="32"/>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 xml:space="preserve"> </w:t>
      </w:r>
      <w:r>
        <w:rPr>
          <w:rFonts w:hint="eastAsia" w:ascii="仿宋_GB2312" w:hAnsi="仿宋_GB2312" w:cs="仿宋_GB2312"/>
          <w:color w:val="auto"/>
          <w:sz w:val="32"/>
          <w:szCs w:val="32"/>
        </w:rPr>
        <w:t xml:space="preserve">  </w:t>
      </w:r>
      <w:r>
        <w:rPr>
          <w:rFonts w:hint="eastAsia" w:ascii="仿宋_GB2312" w:hAnsi="仿宋_GB2312" w:cs="仿宋_GB2312"/>
          <w:color w:val="auto"/>
        </w:rPr>
        <w:t xml:space="preserve">      </w:t>
      </w:r>
    </w:p>
    <w:p>
      <w:pPr>
        <w:pStyle w:val="9"/>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黑体" w:hAnsi="黑体" w:eastAsia="黑体" w:cs="仿宋_GB2312"/>
          <w:color w:val="auto"/>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市企业技术中心评价材料</w:t>
      </w:r>
    </w:p>
    <w:p>
      <w:pPr>
        <w:pStyle w:val="9"/>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黑体" w:hAnsi="黑体" w:eastAsia="黑体" w:cs="仿宋_GB2312"/>
          <w:color w:val="auto"/>
          <w:sz w:val="32"/>
          <w:szCs w:val="32"/>
        </w:rPr>
      </w:pPr>
      <w:r>
        <w:rPr>
          <w:rFonts w:hint="eastAsia" w:ascii="黑体" w:hAnsi="黑体" w:eastAsia="黑体" w:cs="仿宋_GB2312"/>
          <w:color w:val="auto"/>
          <w:sz w:val="32"/>
          <w:szCs w:val="32"/>
        </w:rPr>
        <w:t>一、</w:t>
      </w:r>
      <w:r>
        <w:rPr>
          <w:rFonts w:hint="eastAsia" w:ascii="黑体" w:hAnsi="黑体" w:eastAsia="黑体" w:cs="仿宋_GB2312"/>
          <w:bCs/>
          <w:color w:val="auto"/>
          <w:sz w:val="32"/>
          <w:szCs w:val="32"/>
          <w:lang w:eastAsia="zh-CN"/>
        </w:rPr>
        <w:t>市</w:t>
      </w:r>
      <w:r>
        <w:rPr>
          <w:rFonts w:hint="eastAsia" w:ascii="黑体" w:hAnsi="黑体" w:eastAsia="黑体" w:cs="仿宋_GB2312"/>
          <w:bCs/>
          <w:color w:val="auto"/>
          <w:sz w:val="32"/>
          <w:szCs w:val="32"/>
        </w:rPr>
        <w:t>企业技术中心评价数据表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82"/>
        <w:gridCol w:w="2130"/>
        <w:gridCol w:w="1428"/>
        <w:gridCol w:w="703"/>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企业名称</w:t>
            </w:r>
          </w:p>
        </w:tc>
        <w:tc>
          <w:tcPr>
            <w:tcW w:w="6741" w:type="dxa"/>
            <w:gridSpan w:val="4"/>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通讯地址</w:t>
            </w:r>
          </w:p>
        </w:tc>
        <w:tc>
          <w:tcPr>
            <w:tcW w:w="213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c>
          <w:tcPr>
            <w:tcW w:w="2131"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下属企业数量</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主营业务</w:t>
            </w:r>
          </w:p>
        </w:tc>
        <w:tc>
          <w:tcPr>
            <w:tcW w:w="213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c>
          <w:tcPr>
            <w:tcW w:w="2131"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行业类别</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企业负责人</w:t>
            </w:r>
          </w:p>
        </w:tc>
        <w:tc>
          <w:tcPr>
            <w:tcW w:w="213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c>
          <w:tcPr>
            <w:tcW w:w="2131"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联系电话</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技术中心负责人</w:t>
            </w:r>
          </w:p>
        </w:tc>
        <w:tc>
          <w:tcPr>
            <w:tcW w:w="213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c>
          <w:tcPr>
            <w:tcW w:w="2131"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联系电话</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联系人</w:t>
            </w:r>
          </w:p>
        </w:tc>
        <w:tc>
          <w:tcPr>
            <w:tcW w:w="213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c>
          <w:tcPr>
            <w:tcW w:w="2131"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联系电话</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电子邮件</w:t>
            </w:r>
          </w:p>
        </w:tc>
        <w:tc>
          <w:tcPr>
            <w:tcW w:w="213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c>
          <w:tcPr>
            <w:tcW w:w="2131"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联系传真</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企业网址</w:t>
            </w:r>
          </w:p>
        </w:tc>
        <w:tc>
          <w:tcPr>
            <w:tcW w:w="213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c>
          <w:tcPr>
            <w:tcW w:w="2131"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报告年度</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序号</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指标名称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单位</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1</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主营业务收入</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万元</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2</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研究与试验发展经费支出</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万元</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3</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研究与试验发展人员数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人</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4</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企业职工总数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人</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5</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技术中心高级专家人数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人</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6</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技术中心博士人数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人</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7</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来技术中心从事研发工作的外部专家人数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人月</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8</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企业全部研发项目数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项</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其中：基础研究和应用研究项目数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项</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9</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国家级研发平台数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个</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10</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省级研发平台数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个</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11</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通过国家（省）认证的实验室和检测机构数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个</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12</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企业技术开发仪器设备原值</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万元</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13</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企业拥有的全部有效发明专利数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项</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14</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当年被受理的专利申请数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项</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其中：其中当年被受理的发明专利申请数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项</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15</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最近三年主持和参加制定的国家、行业和地方标准数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项</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16</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新产品销售收入</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万元</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17</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新产品销售利润</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万元</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18</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利润总额</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万元</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19</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获省级以上自然科学、技术发明、科技进步奖项目数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项</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20</w:t>
            </w:r>
          </w:p>
        </w:tc>
        <w:tc>
          <w:tcPr>
            <w:tcW w:w="5040"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获</w:t>
            </w:r>
            <w:r>
              <w:rPr>
                <w:rFonts w:hint="eastAsia" w:ascii="仿宋_GB2312" w:hAnsi="仿宋_GB2312" w:eastAsia="仿宋_GB2312" w:cs="仿宋_GB2312"/>
                <w:color w:val="auto"/>
                <w:lang w:eastAsia="zh-CN"/>
              </w:rPr>
              <w:t>市</w:t>
            </w:r>
            <w:r>
              <w:rPr>
                <w:rFonts w:hint="eastAsia" w:ascii="仿宋_GB2312" w:hAnsi="仿宋_GB2312" w:eastAsia="仿宋_GB2312" w:cs="仿宋_GB2312"/>
                <w:color w:val="auto"/>
              </w:rPr>
              <w:t>级以上自然科学、技术发明、科技进步奖项目数</w:t>
            </w:r>
          </w:p>
        </w:tc>
        <w:tc>
          <w:tcPr>
            <w:tcW w:w="703"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项</w:t>
            </w:r>
          </w:p>
        </w:tc>
        <w:tc>
          <w:tcPr>
            <w:tcW w:w="2480"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p>
        </w:tc>
      </w:tr>
    </w:tbl>
    <w:p>
      <w:pPr>
        <w:pStyle w:val="9"/>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二、需提供的附件及</w:t>
      </w:r>
      <w:r>
        <w:rPr>
          <w:rFonts w:hint="eastAsia" w:ascii="Times New Roman" w:hAnsi="Times New Roman" w:eastAsia="黑体" w:cs="Times New Roman"/>
          <w:bCs/>
          <w:color w:val="auto"/>
          <w:sz w:val="32"/>
          <w:szCs w:val="32"/>
          <w:lang w:eastAsia="zh-CN"/>
        </w:rPr>
        <w:t>佐证</w:t>
      </w:r>
      <w:r>
        <w:rPr>
          <w:rFonts w:hint="default" w:ascii="Times New Roman" w:hAnsi="Times New Roman" w:eastAsia="黑体" w:cs="Times New Roman"/>
          <w:bCs/>
          <w:color w:val="auto"/>
          <w:sz w:val="32"/>
          <w:szCs w:val="32"/>
        </w:rPr>
        <w:t>材料</w:t>
      </w:r>
    </w:p>
    <w:p>
      <w:pPr>
        <w:pStyle w:val="9"/>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企业对报送资料真实性、完整性承诺。</w:t>
      </w:r>
    </w:p>
    <w:p>
      <w:pPr>
        <w:pStyle w:val="9"/>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2.企业年度审计报告。</w:t>
      </w:r>
    </w:p>
    <w:p>
      <w:pPr>
        <w:pStyle w:val="9"/>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相关统计报表。主要包括：规模以上工业法人单位研发项目情况</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、规模以上工业法人单位研发活动及相关情况</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评价指标的必要</w:t>
      </w:r>
      <w:r>
        <w:rPr>
          <w:rFonts w:hint="eastAsia" w:ascii="仿宋_GB2312" w:hAnsi="仿宋_GB2312" w:eastAsia="仿宋_GB2312" w:cs="仿宋_GB2312"/>
          <w:color w:val="auto"/>
          <w:sz w:val="32"/>
          <w:szCs w:val="32"/>
          <w:lang w:eastAsia="zh-CN"/>
        </w:rPr>
        <w:t>佐证</w:t>
      </w:r>
      <w:r>
        <w:rPr>
          <w:rFonts w:hint="eastAsia" w:ascii="仿宋_GB2312" w:hAnsi="仿宋_GB2312" w:eastAsia="仿宋_GB2312" w:cs="仿宋_GB2312"/>
          <w:color w:val="auto"/>
          <w:sz w:val="32"/>
          <w:szCs w:val="32"/>
        </w:rPr>
        <w:t>材料。主要包括：企业营业执照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技术开发仪器</w:t>
      </w:r>
      <w:r>
        <w:rPr>
          <w:rFonts w:hint="eastAsia" w:ascii="仿宋_GB2312" w:hAnsi="仿宋_GB2312" w:eastAsia="仿宋_GB2312" w:cs="仿宋_GB2312"/>
          <w:color w:val="auto"/>
          <w:sz w:val="32"/>
          <w:szCs w:val="32"/>
        </w:rPr>
        <w:t>设备汇总表</w:t>
      </w:r>
      <w:r>
        <w:rPr>
          <w:rFonts w:hint="eastAsia" w:ascii="仿宋_GB2312" w:hAnsi="仿宋_GB2312" w:eastAsia="仿宋_GB2312" w:cs="仿宋_GB2312"/>
          <w:color w:val="auto"/>
          <w:sz w:val="32"/>
          <w:szCs w:val="32"/>
          <w:highlight w:val="none"/>
          <w:lang w:eastAsia="zh-CN"/>
        </w:rPr>
        <w:t>（包含名称、数量、购买时间、购买价格、是否处于行业领先水平）</w:t>
      </w:r>
      <w:r>
        <w:rPr>
          <w:rFonts w:hint="eastAsia" w:ascii="仿宋_GB2312" w:hAnsi="仿宋_GB2312" w:eastAsia="仿宋_GB2312" w:cs="仿宋_GB2312"/>
          <w:color w:val="auto"/>
          <w:sz w:val="32"/>
          <w:szCs w:val="32"/>
        </w:rPr>
        <w:t>及发票；</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highlight w:val="none"/>
          <w:lang w:eastAsia="zh-CN"/>
        </w:rPr>
        <w:t>技术研发团队及</w:t>
      </w:r>
      <w:r>
        <w:rPr>
          <w:rFonts w:hint="eastAsia" w:ascii="仿宋_GB2312" w:hAnsi="仿宋_GB2312" w:eastAsia="仿宋_GB2312" w:cs="仿宋_GB2312"/>
          <w:color w:val="auto"/>
          <w:sz w:val="32"/>
          <w:szCs w:val="32"/>
          <w:lang w:eastAsia="zh-CN"/>
        </w:rPr>
        <w:t>技术中心</w:t>
      </w:r>
      <w:r>
        <w:rPr>
          <w:rFonts w:hint="eastAsia" w:ascii="仿宋_GB2312" w:hAnsi="仿宋_GB2312" w:eastAsia="仿宋_GB2312" w:cs="仿宋_GB2312"/>
          <w:color w:val="auto"/>
          <w:sz w:val="32"/>
          <w:szCs w:val="32"/>
        </w:rPr>
        <w:t>高级专家、博士和外部专家</w:t>
      </w:r>
      <w:r>
        <w:rPr>
          <w:rFonts w:hint="eastAsia" w:ascii="仿宋_GB2312" w:hAnsi="仿宋_GB2312" w:eastAsia="仿宋_GB2312" w:cs="仿宋_GB2312"/>
          <w:color w:val="auto"/>
          <w:sz w:val="32"/>
          <w:szCs w:val="32"/>
          <w:lang w:eastAsia="zh-CN"/>
        </w:rPr>
        <w:t>等佐证；企业</w:t>
      </w:r>
      <w:r>
        <w:rPr>
          <w:rFonts w:hint="eastAsia" w:ascii="仿宋_GB2312" w:hAnsi="仿宋_GB2312" w:eastAsia="仿宋_GB2312" w:cs="仿宋_GB2312"/>
          <w:color w:val="auto"/>
          <w:sz w:val="32"/>
          <w:szCs w:val="32"/>
        </w:rPr>
        <w:t>专利</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主持和参与标准</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rPr>
        <w:t>国家级和省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级研发平台、实验室和检测机构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科技奖励</w:t>
      </w:r>
      <w:r>
        <w:rPr>
          <w:rFonts w:hint="eastAsia" w:ascii="仿宋_GB2312" w:hAnsi="仿宋_GB2312" w:eastAsia="仿宋_GB2312" w:cs="仿宋_GB2312"/>
          <w:color w:val="auto"/>
          <w:sz w:val="32"/>
          <w:szCs w:val="32"/>
          <w:lang w:eastAsia="zh-CN"/>
        </w:rPr>
        <w:t>等佐证；</w:t>
      </w:r>
      <w:r>
        <w:rPr>
          <w:rFonts w:hint="eastAsia" w:ascii="仿宋_GB2312" w:hAnsi="仿宋_GB2312" w:eastAsia="仿宋_GB2312" w:cs="仿宋_GB2312"/>
          <w:color w:val="auto"/>
          <w:sz w:val="32"/>
          <w:szCs w:val="32"/>
        </w:rPr>
        <w:t>企业技术中心成立文件</w:t>
      </w:r>
      <w:r>
        <w:rPr>
          <w:rFonts w:hint="eastAsia" w:ascii="仿宋_GB2312" w:hAnsi="仿宋_GB2312" w:eastAsia="仿宋_GB2312" w:cs="仿宋_GB2312"/>
          <w:color w:val="auto"/>
          <w:sz w:val="32"/>
          <w:szCs w:val="32"/>
          <w:lang w:eastAsia="zh-CN"/>
        </w:rPr>
        <w:t>；企业技术创新机制、组织体系、创新效率和效益</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佐证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评价数据表中其他对应佐证材料</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方正小标宋简体" w:hAnsi="方正小标宋简体" w:eastAsia="方正小标宋简体" w:cs="方正小标宋简体"/>
          <w:color w:val="auto"/>
          <w:lang w:eastAsia="zh-CN"/>
        </w:rPr>
      </w:pPr>
      <w:r>
        <w:rPr>
          <w:rFonts w:hint="eastAsia" w:ascii="仿宋_GB2312" w:hAnsi="仿宋_GB2312" w:cs="仿宋_GB2312"/>
          <w:color w:val="auto"/>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哈尔滨市企业技术中心工作总结</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提纲</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已认定的市企业技术中心需在评价年度提交工作总结，全面总结报告年度和报告年度前一年度企业技术创新与技术中心工作情况，主要包括以下内容：</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1.简要分析企业所在行业创新趋势和特点，以及企业在该行业中的地位和竞争优势。</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2.企业技术创新体系建设情况，包括基本情况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技术中心组织</w:t>
      </w:r>
      <w:r>
        <w:rPr>
          <w:rFonts w:hint="eastAsia" w:ascii="仿宋_GB2312" w:hAnsi="仿宋_GB2312" w:eastAsia="仿宋_GB2312" w:cs="仿宋_GB2312"/>
          <w:color w:val="auto"/>
          <w:sz w:val="32"/>
          <w:szCs w:val="32"/>
          <w:lang w:eastAsia="zh-CN"/>
        </w:rPr>
        <w:t>体系</w:t>
      </w:r>
      <w:r>
        <w:rPr>
          <w:rFonts w:hint="eastAsia" w:ascii="仿宋_GB2312" w:hAnsi="仿宋_GB2312" w:eastAsia="仿宋_GB2312" w:cs="仿宋_GB2312"/>
          <w:color w:val="auto"/>
          <w:sz w:val="32"/>
          <w:szCs w:val="32"/>
        </w:rPr>
        <w:t>、创新机制、产学研合作</w:t>
      </w:r>
      <w:r>
        <w:rPr>
          <w:rFonts w:hint="eastAsia" w:ascii="仿宋_GB2312" w:hAnsi="仿宋_GB2312" w:eastAsia="仿宋_GB2312" w:cs="仿宋_GB2312"/>
          <w:color w:val="auto"/>
          <w:sz w:val="32"/>
          <w:szCs w:val="32"/>
          <w:lang w:eastAsia="zh-CN"/>
        </w:rPr>
        <w:t>、国际化创新合作机制建设情况，</w:t>
      </w:r>
      <w:r>
        <w:rPr>
          <w:rFonts w:hint="eastAsia" w:ascii="仿宋_GB2312" w:hAnsi="仿宋_GB2312" w:eastAsia="仿宋_GB2312" w:cs="仿宋_GB2312"/>
          <w:color w:val="auto"/>
          <w:sz w:val="32"/>
          <w:szCs w:val="32"/>
        </w:rPr>
        <w:t>基础设施建设</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等。</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3.企业技术创新活动开展情况，包括重点创新项目的组织实施、关键核心技术和产品开发等。</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4.企业技术中心取得的主要创新成果，形成的核心技术及自主知识产权情况，重点介绍相关技术成果对企业核心产品研发、核心竞争力提升的支撑作用，以及取得的经济社会效益。</w:t>
      </w:r>
    </w:p>
    <w:p>
      <w:pPr>
        <w:keepNext w:val="0"/>
        <w:keepLines w:val="0"/>
        <w:pageBreakBefore w:val="0"/>
        <w:widowControl w:val="0"/>
        <w:kinsoku/>
        <w:wordWrap/>
        <w:overflowPunct/>
        <w:topLinePunct w:val="0"/>
        <w:autoSpaceDE/>
        <w:autoSpaceDN/>
        <w:bidi w:val="0"/>
        <w:adjustRightInd/>
        <w:snapToGrid w:val="0"/>
        <w:spacing w:line="600" w:lineRule="exact"/>
        <w:ind w:firstLine="64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eastAsia="zh-CN"/>
        </w:rPr>
        <w:t>其他有特色的工作情况，</w:t>
      </w:r>
      <w:r>
        <w:rPr>
          <w:rFonts w:hint="eastAsia" w:ascii="仿宋_GB2312" w:hAnsi="仿宋_GB2312" w:eastAsia="仿宋_GB2312" w:cs="仿宋_GB2312"/>
          <w:color w:val="auto"/>
          <w:sz w:val="32"/>
          <w:szCs w:val="32"/>
          <w:highlight w:val="none"/>
        </w:rPr>
        <w:t>存在的问题及原因</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下一步</w:t>
      </w:r>
      <w:r>
        <w:rPr>
          <w:rFonts w:hint="eastAsia" w:ascii="仿宋_GB2312" w:hAnsi="仿宋_GB2312" w:eastAsia="仿宋_GB2312" w:cs="仿宋_GB2312"/>
          <w:color w:val="auto"/>
          <w:sz w:val="32"/>
          <w:szCs w:val="32"/>
          <w:highlight w:val="none"/>
          <w:lang w:eastAsia="zh-CN"/>
        </w:rPr>
        <w:t>重点工作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黑体" w:hAnsi="黑体" w:eastAsia="黑体" w:cs="黑体"/>
          <w:color w:val="auto"/>
        </w:rPr>
      </w:pPr>
      <w:r>
        <w:rPr>
          <w:rFonts w:hint="eastAsia" w:ascii="仿宋_GB2312" w:hAnsi="仿宋_GB2312" w:eastAsia="仿宋_GB2312" w:cs="仿宋_GB2312"/>
          <w:color w:val="auto"/>
          <w:sz w:val="32"/>
          <w:szCs w:val="32"/>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哈尔滨市企业技术中心评价指标体系</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32"/>
        <w:gridCol w:w="600"/>
        <w:gridCol w:w="420"/>
        <w:gridCol w:w="4650"/>
        <w:gridCol w:w="555"/>
        <w:gridCol w:w="67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一级指标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二级指标</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权重</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三级指标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单位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权重</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创新投入</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创新经费</w:t>
            </w: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研发人员人均研发经费支出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万元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研发经费支出占主营业务收入的比重</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创新人才</w:t>
            </w: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15</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研发人员占企业职工总数的比重</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技术中心拥有的高级专家和博士人数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来技术中心从事研发工作的外部专家人数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人月</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创新条件</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技术积累</w:t>
            </w: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13</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企业拥有的全部有效发明专利数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企业全部研发项目数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基础研究和应用研究项目数占全部研发项目数的比重</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创新平台</w:t>
            </w: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企业技术开发仪器设备原值</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万元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7</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国家</w:t>
            </w:r>
            <w:r>
              <w:rPr>
                <w:rFonts w:hint="eastAsia" w:ascii="宋体" w:hAnsi="宋体" w:eastAsia="宋体" w:cs="宋体"/>
                <w:color w:val="auto"/>
                <w:kern w:val="0"/>
                <w:sz w:val="24"/>
                <w:szCs w:val="24"/>
              </w:rPr>
              <w:t>级研发平台数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省</w:t>
            </w:r>
            <w:r>
              <w:rPr>
                <w:rFonts w:hint="eastAsia" w:ascii="宋体" w:hAnsi="宋体" w:eastAsia="宋体" w:cs="宋体"/>
                <w:color w:val="auto"/>
                <w:kern w:val="0"/>
                <w:sz w:val="24"/>
                <w:szCs w:val="24"/>
              </w:rPr>
              <w:t>级研发平台数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通过</w:t>
            </w:r>
            <w:r>
              <w:rPr>
                <w:rFonts w:hint="eastAsia" w:ascii="宋体" w:hAnsi="宋体" w:eastAsia="宋体" w:cs="宋体"/>
                <w:color w:val="auto"/>
                <w:kern w:val="0"/>
                <w:sz w:val="24"/>
                <w:szCs w:val="24"/>
                <w:lang w:eastAsia="zh-CN"/>
              </w:rPr>
              <w:t>国家（省）</w:t>
            </w:r>
            <w:r>
              <w:rPr>
                <w:rFonts w:hint="eastAsia" w:ascii="宋体" w:hAnsi="宋体" w:eastAsia="宋体" w:cs="宋体"/>
                <w:color w:val="auto"/>
                <w:kern w:val="0"/>
                <w:sz w:val="24"/>
                <w:szCs w:val="24"/>
              </w:rPr>
              <w:t>认证的实验室和检测机构数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创新绩效</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技术产出</w:t>
            </w: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15</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当年被受理的专利申请数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当年被受理的发明专利申请数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最近三年主持和参加制定的国家、行业和地方标准数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tc>
        <w:tc>
          <w:tcPr>
            <w:tcW w:w="6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创新效益</w:t>
            </w:r>
          </w:p>
        </w:tc>
        <w:tc>
          <w:tcPr>
            <w:tcW w:w="42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25</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新产品销售收入占主营业务收入的比重</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p>
        </w:tc>
        <w:tc>
          <w:tcPr>
            <w:tcW w:w="42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新产品销售利润占利润总额的比重</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7"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p>
        </w:tc>
        <w:tc>
          <w:tcPr>
            <w:tcW w:w="60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p>
        </w:tc>
        <w:tc>
          <w:tcPr>
            <w:tcW w:w="42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新产品</w:t>
            </w:r>
            <w:r>
              <w:rPr>
                <w:rFonts w:hint="eastAsia" w:ascii="宋体" w:hAnsi="宋体" w:eastAsia="宋体" w:cs="宋体"/>
                <w:color w:val="auto"/>
                <w:kern w:val="0"/>
                <w:sz w:val="24"/>
                <w:szCs w:val="24"/>
              </w:rPr>
              <w:t>利润率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7" w:hRule="atLeast"/>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加分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加分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获</w:t>
            </w:r>
            <w:r>
              <w:rPr>
                <w:rFonts w:hint="eastAsia" w:ascii="宋体" w:hAnsi="宋体" w:eastAsia="宋体" w:cs="宋体"/>
                <w:color w:val="auto"/>
                <w:kern w:val="0"/>
                <w:sz w:val="24"/>
                <w:szCs w:val="24"/>
                <w:lang w:eastAsia="zh-CN"/>
              </w:rPr>
              <w:t>市</w:t>
            </w:r>
            <w:r>
              <w:rPr>
                <w:rFonts w:hint="eastAsia" w:ascii="宋体" w:hAnsi="宋体" w:eastAsia="宋体" w:cs="宋体"/>
                <w:color w:val="auto"/>
                <w:kern w:val="0"/>
                <w:sz w:val="24"/>
                <w:szCs w:val="24"/>
              </w:rPr>
              <w:t>级以上自然科学、技术发明、科技进步奖项</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有一项加</w:t>
            </w:r>
            <w:r>
              <w:rPr>
                <w:rFonts w:hint="eastAsia" w:ascii="宋体" w:hAnsi="宋体" w:eastAsia="宋体" w:cs="宋体"/>
                <w:color w:val="auto"/>
                <w:kern w:val="0"/>
                <w:sz w:val="24"/>
                <w:szCs w:val="24"/>
                <w:lang w:val="en-US" w:eastAsia="zh-CN"/>
              </w:rPr>
              <w:t>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p>
        </w:tc>
      </w:tr>
    </w:tbl>
    <w:p/>
    <w:p>
      <w:pPr>
        <w:spacing w:line="600" w:lineRule="exact"/>
        <w:ind w:firstLine="420" w:firstLineChars="200"/>
        <w:rPr>
          <w:rFonts w:hint="eastAsia" w:ascii="仿宋_GB2312" w:hAnsi="仿宋"/>
        </w:rPr>
      </w:pPr>
    </w:p>
    <w:p>
      <w:pPr>
        <w:spacing w:line="600" w:lineRule="exact"/>
        <w:ind w:firstLine="420" w:firstLineChars="200"/>
        <w:rPr>
          <w:rFonts w:hint="eastAsia" w:ascii="仿宋_GB2312" w:hAnsi="仿宋"/>
        </w:rPr>
      </w:pPr>
    </w:p>
    <w:p>
      <w:pPr>
        <w:spacing w:line="600" w:lineRule="exact"/>
        <w:ind w:firstLine="420" w:firstLineChars="200"/>
        <w:rPr>
          <w:rFonts w:hint="eastAsia" w:ascii="仿宋_GB2312" w:hAnsi="仿宋"/>
        </w:rPr>
      </w:pPr>
    </w:p>
    <w:p>
      <w:pPr>
        <w:spacing w:line="600" w:lineRule="exact"/>
        <w:rPr>
          <w:rFonts w:hint="eastAsia" w:ascii="黑体" w:hAnsi="黑体" w:eastAsia="黑体" w:cs="黑体"/>
        </w:rPr>
      </w:pPr>
    </w:p>
    <w:p/>
    <w:p>
      <w:pPr>
        <w:pStyle w:val="8"/>
        <w:snapToGrid w:val="0"/>
        <w:rPr>
          <w:rFonts w:ascii="华文中宋" w:hAnsi="华文中宋" w:eastAsia="华文中宋"/>
          <w:spacing w:val="-11"/>
          <w:sz w:val="44"/>
          <w:szCs w:val="36"/>
        </w:rPr>
      </w:pPr>
    </w:p>
    <w:p>
      <w:pPr>
        <w:pStyle w:val="8"/>
        <w:jc w:val="left"/>
        <w:rPr>
          <w:rFonts w:ascii="黑体" w:hAnsi="黑体" w:eastAsia="黑体" w:cs="黑体"/>
          <w:sz w:val="32"/>
        </w:rPr>
      </w:pPr>
    </w:p>
    <w:p>
      <w:pPr>
        <w:pStyle w:val="8"/>
        <w:jc w:val="left"/>
        <w:rPr>
          <w:rFonts w:ascii="黑体" w:hAnsi="黑体" w:eastAsia="黑体" w:cs="黑体"/>
          <w:sz w:val="32"/>
        </w:rPr>
      </w:pPr>
    </w:p>
    <w:p>
      <w:pPr>
        <w:pStyle w:val="8"/>
        <w:jc w:val="left"/>
        <w:rPr>
          <w:rFonts w:ascii="黑体" w:hAnsi="黑体" w:eastAsia="黑体" w:cs="黑体"/>
          <w:sz w:val="32"/>
        </w:rPr>
      </w:pPr>
    </w:p>
    <w:p>
      <w:pPr>
        <w:pStyle w:val="8"/>
        <w:jc w:val="left"/>
        <w:rPr>
          <w:rFonts w:ascii="黑体" w:hAnsi="黑体" w:eastAsia="黑体" w:cs="黑体"/>
          <w:sz w:val="32"/>
        </w:rPr>
      </w:pPr>
    </w:p>
    <w:p>
      <w:pPr>
        <w:pStyle w:val="8"/>
        <w:jc w:val="left"/>
        <w:rPr>
          <w:rFonts w:ascii="黑体" w:hAnsi="黑体" w:eastAsia="黑体" w:cs="黑体"/>
          <w:sz w:val="32"/>
        </w:rPr>
      </w:pPr>
    </w:p>
    <w:p>
      <w:pPr>
        <w:ind w:firstLine="420" w:firstLineChars="200"/>
        <w:rPr>
          <w:rFonts w:hint="eastAsia" w:ascii="仿宋" w:hAnsi="仿宋" w:eastAsia="仿宋" w:cs="仿宋"/>
          <w:sz w:val="10"/>
          <w:szCs w:val="10"/>
        </w:rPr>
      </w:pPr>
      <w:r>
        <mc:AlternateContent>
          <mc:Choice Requires="wps">
            <w:drawing>
              <wp:anchor distT="45720" distB="45720" distL="114300" distR="114300" simplePos="0" relativeHeight="251660288" behindDoc="0" locked="0" layoutInCell="1" allowOverlap="0">
                <wp:simplePos x="0" y="0"/>
                <wp:positionH relativeFrom="margin">
                  <wp:align>center</wp:align>
                </wp:positionH>
                <wp:positionV relativeFrom="margin">
                  <wp:align>bottom</wp:align>
                </wp:positionV>
                <wp:extent cx="5615305" cy="1619250"/>
                <wp:effectExtent l="0" t="0" r="4445" b="0"/>
                <wp:wrapSquare wrapText="bothSides"/>
                <wp:docPr id="3" name="文本框 2"/>
                <wp:cNvGraphicFramePr/>
                <a:graphic xmlns:a="http://schemas.openxmlformats.org/drawingml/2006/main">
                  <a:graphicData uri="http://schemas.microsoft.com/office/word/2010/wordprocessingShape">
                    <wps:wsp>
                      <wps:cNvSpPr txBox="1"/>
                      <wps:spPr>
                        <a:xfrm>
                          <a:off x="0" y="0"/>
                          <a:ext cx="5615305" cy="1619250"/>
                        </a:xfrm>
                        <a:prstGeom prst="rect">
                          <a:avLst/>
                        </a:prstGeom>
                        <a:solidFill>
                          <a:srgbClr val="FFFFFF"/>
                        </a:solidFill>
                        <a:ln>
                          <a:noFill/>
                        </a:ln>
                      </wps:spPr>
                      <wps:txbx>
                        <w:txbxContent>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0"/>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0" w:type="dxa"/>
                                  <w:tcBorders>
                                    <w:top w:val="single" w:color="auto" w:sz="6" w:space="0"/>
                                    <w:left w:val="nil"/>
                                    <w:bottom w:val="single" w:color="auto" w:sz="12" w:space="0"/>
                                    <w:right w:val="nil"/>
                                  </w:tcBorders>
                                  <w:noWrap w:val="0"/>
                                  <w:vAlign w:val="top"/>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哈尔滨市工业和信息化局办公室</w:t>
                                  </w:r>
                                </w:p>
                              </w:tc>
                              <w:tc>
                                <w:tcPr>
                                  <w:tcW w:w="3754" w:type="dxa"/>
                                  <w:tcBorders>
                                    <w:top w:val="single" w:color="auto" w:sz="6" w:space="0"/>
                                    <w:left w:val="nil"/>
                                    <w:bottom w:val="single" w:color="auto" w:sz="12" w:space="0"/>
                                    <w:right w:val="nil"/>
                                  </w:tcBorders>
                                  <w:noWrap w:val="0"/>
                                  <w:vAlign w:val="top"/>
                                </w:tcPr>
                                <w:p>
                                  <w:pPr>
                                    <w:ind w:right="210" w:rightChars="100"/>
                                    <w:jc w:val="right"/>
                                    <w:rPr>
                                      <w:rFonts w:hint="eastAsia" w:ascii="仿宋" w:hAnsi="仿宋" w:eastAsia="仿宋" w:cs="仿宋"/>
                                      <w:sz w:val="28"/>
                                      <w:szCs w:val="28"/>
                                    </w:rPr>
                                  </w:pPr>
                                  <w:bookmarkStart w:id="1" w:name="印发日期"/>
                                  <w:r>
                                    <w:rPr>
                                      <w:rFonts w:hint="eastAsia" w:ascii="仿宋" w:hAnsi="仿宋" w:eastAsia="仿宋" w:cs="仿宋"/>
                                      <w:sz w:val="28"/>
                                      <w:szCs w:val="28"/>
                                      <w:lang w:eastAsia="zh-CN"/>
                                    </w:rPr>
                                    <w:t>2019年12月</w:t>
                                  </w:r>
                                  <w:r>
                                    <w:rPr>
                                      <w:rFonts w:hint="eastAsia" w:ascii="仿宋" w:hAnsi="仿宋" w:eastAsia="仿宋" w:cs="仿宋"/>
                                      <w:sz w:val="28"/>
                                      <w:szCs w:val="28"/>
                                      <w:lang w:val="en-US" w:eastAsia="zh-CN"/>
                                    </w:rPr>
                                    <w:t>26</w:t>
                                  </w:r>
                                  <w:r>
                                    <w:rPr>
                                      <w:rFonts w:hint="eastAsia" w:ascii="仿宋" w:hAnsi="仿宋" w:eastAsia="仿宋" w:cs="仿宋"/>
                                      <w:sz w:val="28"/>
                                      <w:szCs w:val="28"/>
                                      <w:lang w:eastAsia="zh-CN"/>
                                    </w:rPr>
                                    <w:t>日</w:t>
                                  </w:r>
                                  <w:bookmarkEnd w:id="1"/>
                                  <w:r>
                                    <w:rPr>
                                      <w:rFonts w:hint="eastAsia" w:ascii="仿宋" w:hAnsi="仿宋" w:eastAsia="仿宋" w:cs="仿宋"/>
                                      <w:sz w:val="28"/>
                                      <w:szCs w:val="28"/>
                                    </w:rPr>
                                    <w:t xml:space="preserve">印发 </w:t>
                                  </w:r>
                                </w:p>
                              </w:tc>
                            </w:tr>
                          </w:tbl>
                          <w:p>
                            <w:pPr>
                              <w:spacing w:line="20" w:lineRule="exact"/>
                              <w:contextualSpacing/>
                            </w:pPr>
                          </w:p>
                        </w:txbxContent>
                      </wps:txbx>
                      <wps:bodyPr wrap="square" lIns="0" tIns="0" rIns="0" bIns="0" upright="1">
                        <a:spAutoFit/>
                      </wps:bodyPr>
                    </wps:wsp>
                  </a:graphicData>
                </a:graphic>
                <wp14:sizeRelH relativeFrom="margin">
                  <wp14:pctWidth>100000</wp14:pctWidth>
                </wp14:sizeRelH>
                <wp14:sizeRelV relativeFrom="margin">
                  <wp14:pctHeight>20000</wp14:pctHeight>
                </wp14:sizeRelV>
              </wp:anchor>
            </w:drawing>
          </mc:Choice>
          <mc:Fallback>
            <w:pict>
              <v:shape id="文本框 2" o:spid="_x0000_s1026" o:spt="202" type="#_x0000_t202" style="position:absolute;left:0pt;height:127.5pt;width:442.15pt;mso-position-horizontal:center;mso-position-horizontal-relative:margin;mso-position-vertical:bottom;mso-position-vertical-relative:margin;mso-wrap-distance-bottom:3.6pt;mso-wrap-distance-left:9pt;mso-wrap-distance-right:9pt;mso-wrap-distance-top:3.6pt;z-index:251660288;mso-width-relative:margin;mso-height-relative:margin;mso-width-percent:1000;mso-height-percent:200;" fillcolor="#FFFFFF" filled="t" stroked="f" coordsize="21600,21600" o:allowoverlap="f" o:gfxdata="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QMEH3QAAAABQEAAA8A&#10;AAAAAAAAAQAgAAAAIgAAAGRycy9kb3ducmV2LnhtbFBLAQIUABQAAAAIAIdO4kAJ85cu5gEAAMQD&#10;AAAOAAAAAAAAAAEAIAAAAB8BAABkcnMvZTJvRG9jLnhtbFBLBQYAAAAABgAGAFkBAAB3BQAAAAA=&#10;">
                <v:fill on="t" focussize="0,0"/>
                <v:stroke on="f"/>
                <v:imagedata o:title=""/>
                <o:lock v:ext="edit" aspectratio="f"/>
                <v:textbox inset="0mm,0mm,0mm,0mm" style="mso-fit-shape-to-text:t;">
                  <w:txbxContent>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0"/>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0" w:type="dxa"/>
                            <w:tcBorders>
                              <w:top w:val="single" w:color="auto" w:sz="6" w:space="0"/>
                              <w:left w:val="nil"/>
                              <w:bottom w:val="single" w:color="auto" w:sz="12" w:space="0"/>
                              <w:right w:val="nil"/>
                            </w:tcBorders>
                            <w:noWrap w:val="0"/>
                            <w:vAlign w:val="top"/>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哈尔滨市工业和信息化局办公室</w:t>
                            </w:r>
                          </w:p>
                        </w:tc>
                        <w:tc>
                          <w:tcPr>
                            <w:tcW w:w="3754" w:type="dxa"/>
                            <w:tcBorders>
                              <w:top w:val="single" w:color="auto" w:sz="6" w:space="0"/>
                              <w:left w:val="nil"/>
                              <w:bottom w:val="single" w:color="auto" w:sz="12" w:space="0"/>
                              <w:right w:val="nil"/>
                            </w:tcBorders>
                            <w:noWrap w:val="0"/>
                            <w:vAlign w:val="top"/>
                          </w:tcPr>
                          <w:p>
                            <w:pPr>
                              <w:ind w:right="210" w:rightChars="100"/>
                              <w:jc w:val="right"/>
                              <w:rPr>
                                <w:rFonts w:hint="eastAsia" w:ascii="仿宋" w:hAnsi="仿宋" w:eastAsia="仿宋" w:cs="仿宋"/>
                                <w:sz w:val="28"/>
                                <w:szCs w:val="28"/>
                              </w:rPr>
                            </w:pPr>
                            <w:bookmarkStart w:id="1" w:name="印发日期"/>
                            <w:r>
                              <w:rPr>
                                <w:rFonts w:hint="eastAsia" w:ascii="仿宋" w:hAnsi="仿宋" w:eastAsia="仿宋" w:cs="仿宋"/>
                                <w:sz w:val="28"/>
                                <w:szCs w:val="28"/>
                                <w:lang w:eastAsia="zh-CN"/>
                              </w:rPr>
                              <w:t>2019年12月</w:t>
                            </w:r>
                            <w:r>
                              <w:rPr>
                                <w:rFonts w:hint="eastAsia" w:ascii="仿宋" w:hAnsi="仿宋" w:eastAsia="仿宋" w:cs="仿宋"/>
                                <w:sz w:val="28"/>
                                <w:szCs w:val="28"/>
                                <w:lang w:val="en-US" w:eastAsia="zh-CN"/>
                              </w:rPr>
                              <w:t>26</w:t>
                            </w:r>
                            <w:r>
                              <w:rPr>
                                <w:rFonts w:hint="eastAsia" w:ascii="仿宋" w:hAnsi="仿宋" w:eastAsia="仿宋" w:cs="仿宋"/>
                                <w:sz w:val="28"/>
                                <w:szCs w:val="28"/>
                                <w:lang w:eastAsia="zh-CN"/>
                              </w:rPr>
                              <w:t>日</w:t>
                            </w:r>
                            <w:bookmarkEnd w:id="1"/>
                            <w:r>
                              <w:rPr>
                                <w:rFonts w:hint="eastAsia" w:ascii="仿宋" w:hAnsi="仿宋" w:eastAsia="仿宋" w:cs="仿宋"/>
                                <w:sz w:val="28"/>
                                <w:szCs w:val="28"/>
                              </w:rPr>
                              <w:t xml:space="preserve">印发 </w:t>
                            </w:r>
                          </w:p>
                        </w:tc>
                      </w:tr>
                    </w:tbl>
                    <w:p>
                      <w:pPr>
                        <w:spacing w:line="20" w:lineRule="exact"/>
                        <w:contextualSpacing/>
                      </w:pPr>
                    </w:p>
                  </w:txbxContent>
                </v:textbox>
                <w10:wrap type="square"/>
              </v:shape>
            </w:pict>
          </mc:Fallback>
        </mc:AlternateContent>
      </w:r>
    </w:p>
    <w:sectPr>
      <w:footerReference r:id="rId13" w:type="first"/>
      <w:footerReference r:id="rId11" w:type="default"/>
      <w:footerReference r:id="rId12" w:type="even"/>
      <w:pgSz w:w="11906" w:h="16838"/>
      <w:pgMar w:top="2098" w:right="1531" w:bottom="1985" w:left="1531" w:header="851" w:footer="992" w:gutter="0"/>
      <w:pgBorders>
        <w:top w:val="none" w:sz="0" w:space="0"/>
        <w:left w:val="none" w:sz="0" w:space="0"/>
        <w:bottom w:val="none" w:sz="0" w:space="0"/>
        <w:right w:val="none" w:sz="0" w:space="0"/>
      </w:pgBorders>
      <w:cols w:space="720" w:num="1"/>
      <w:titlePg/>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ind w:firstLine="120" w:firstLineChars="50"/>
                            <w:rPr>
                              <w:rStyle w:val="10"/>
                              <w:rFonts w:hint="eastAsia"/>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8</w:t>
                          </w:r>
                          <w:r>
                            <w:rPr>
                              <w:sz w:val="24"/>
                              <w:szCs w:val="24"/>
                            </w:rPr>
                            <w:fldChar w:fldCharType="end"/>
                          </w:r>
                          <w:r>
                            <w:rPr>
                              <w:rStyle w:val="10"/>
                              <w:rFonts w:hint="eastAsia"/>
                              <w:sz w:val="24"/>
                              <w:szCs w:val="24"/>
                            </w:rPr>
                            <w:t xml:space="preserve"> —</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pyB9wBAAC+AwAADgAAAGRycy9lMm9Eb2MueG1srVPNjtMwEL4j8Q6W&#10;7zRph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upyB9wBAAC+AwAADgAAAAAAAAAB&#10;ACAAAAAeAQAAZHJzL2Uyb0RvYy54bWxQSwUGAAAAAAYABgBZAQAAbAUAAAAA&#10;">
              <v:fill on="f" focussize="0,0"/>
              <v:stroke on="f"/>
              <v:imagedata o:title=""/>
              <o:lock v:ext="edit" aspectratio="f"/>
              <v:textbox inset="0mm,0mm,0mm,0mm" style="mso-fit-shape-to-text:t;">
                <w:txbxContent>
                  <w:p>
                    <w:pPr>
                      <w:pStyle w:val="2"/>
                      <w:ind w:firstLine="120" w:firstLineChars="50"/>
                      <w:rPr>
                        <w:rStyle w:val="10"/>
                        <w:rFonts w:hint="eastAsia"/>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8</w:t>
                    </w:r>
                    <w:r>
                      <w:rPr>
                        <w:sz w:val="24"/>
                        <w:szCs w:val="24"/>
                      </w:rPr>
                      <w:fldChar w:fldCharType="end"/>
                    </w:r>
                    <w:r>
                      <w:rPr>
                        <w:rStyle w:val="10"/>
                        <w:rFonts w:hint="eastAsia"/>
                        <w:sz w:val="24"/>
                        <w:szCs w:val="24"/>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right="420" w:rightChars="200"/>
      <w:jc w:val="right"/>
      <w:textAlignment w:val="auto"/>
      <w:outlineLvl w:val="9"/>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snapToGrid w:val="0"/>
                            <w:ind w:right="420" w:rightChars="200"/>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zh-CN" w:eastAsia="zh-CN"/>
                            </w:rPr>
                            <w:t>1</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rK9D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rDhzwtLEzz++n3/+&#10;Pv/6xpbL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Uesr0OEBAAC8AwAA&#10;DgAAAAAAAAABACAAAAAiAQAAZHJzL2Uyb0RvYy54bWxQSwUGAAAAAAYABgBZAQAAdQUAAAAA&#10;">
              <v:fill on="f" focussize="0,0"/>
              <v:stroke on="f" weight="1.25pt"/>
              <v:imagedata o:title=""/>
              <o:lock v:ext="edit" aspectratio="f"/>
              <v:textbox inset="0mm,0mm,0mm,0mm" style="mso-fit-shape-to-text:t;">
                <w:txbxContent>
                  <w:p>
                    <w:pPr>
                      <w:pStyle w:val="2"/>
                      <w:snapToGrid w:val="0"/>
                      <w:ind w:right="420" w:rightChars="200"/>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zh-CN" w:eastAsia="zh-CN"/>
                      </w:rPr>
                      <w:t>1</w:t>
                    </w:r>
                    <w:r>
                      <w:rPr>
                        <w:rFonts w:ascii="Times New Roman" w:hAnsi="Times New Roman"/>
                        <w:sz w:val="28"/>
                        <w:szCs w:val="28"/>
                      </w:rPr>
                      <w:fldChar w:fldCharType="end"/>
                    </w:r>
                    <w:r>
                      <w:rPr>
                        <w:rFonts w:hint="eastAsia"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10"/>
                            </w:rPr>
                          </w:pPr>
                          <w:r>
                            <w:fldChar w:fldCharType="begin"/>
                          </w:r>
                          <w:r>
                            <w:rPr>
                              <w:rStyle w:val="10"/>
                            </w:rPr>
                            <w:instrText xml:space="preserve">PAGE  </w:instrText>
                          </w:r>
                          <w:r>
                            <w:fldChar w:fldCharType="separate"/>
                          </w:r>
                          <w:r>
                            <w:fldChar w:fldCharType="end"/>
                          </w:r>
                        </w:p>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mfQ5z+EBAAC6AwAA&#10;DgAAAAAAAAABACAAAAAiAQAAZHJzL2Uyb0RvYy54bWxQSwUGAAAAAAYABgBZAQAAdQUAAAAA&#10;">
              <v:fill on="f" focussize="0,0"/>
              <v:stroke on="f" weight="1.25pt"/>
              <v:imagedata o:title=""/>
              <o:lock v:ext="edit" aspectratio="f"/>
              <v:textbox inset="0mm,0mm,0mm,0mm" style="mso-fit-shape-to-text:t;">
                <w:txbxContent>
                  <w:p>
                    <w:pPr>
                      <w:pStyle w:val="2"/>
                      <w:rPr>
                        <w:rStyle w:val="10"/>
                      </w:rPr>
                    </w:pPr>
                    <w:r>
                      <w:fldChar w:fldCharType="begin"/>
                    </w:r>
                    <w:r>
                      <w:rPr>
                        <w:rStyle w:val="10"/>
                      </w:rPr>
                      <w:instrText xml:space="preserve">PAGE  </w:instrText>
                    </w:r>
                    <w:r>
                      <w:fldChar w:fldCharType="separate"/>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8</w:t>
                          </w:r>
                          <w:r>
                            <w:rPr>
                              <w:sz w:val="24"/>
                              <w:szCs w:val="24"/>
                            </w:rPr>
                            <w:fldChar w:fldCharType="end"/>
                          </w:r>
                          <w:r>
                            <w:rPr>
                              <w:rStyle w:val="10"/>
                              <w:rFonts w:hint="eastAsia"/>
                              <w:sz w:val="24"/>
                              <w:szCs w:val="24"/>
                            </w:rPr>
                            <w:t xml:space="preserve"> —</w:t>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m6oUeEBAAC6AwAA&#10;DgAAAAAAAAABACAAAAAiAQAAZHJzL2Uyb0RvYy54bWxQSwUGAAAAAAYABgBZAQAAdQUAAAAA&#10;">
              <v:fill on="f" focussize="0,0"/>
              <v:stroke on="f" weight="1.25pt"/>
              <v:imagedata o:title=""/>
              <o:lock v:ext="edit" aspectratio="f"/>
              <v:textbox inset="0mm,0mm,0mm,0mm" style="mso-fit-shape-to-text:t;">
                <w:txbxContent>
                  <w:p>
                    <w:pPr>
                      <w:pStyle w:val="2"/>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8</w:t>
                    </w:r>
                    <w:r>
                      <w:rPr>
                        <w:sz w:val="24"/>
                        <w:szCs w:val="24"/>
                      </w:rPr>
                      <w:fldChar w:fldCharType="end"/>
                    </w:r>
                    <w:r>
                      <w:rPr>
                        <w:rStyle w:val="10"/>
                        <w:rFonts w:hint="eastAsia"/>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pZndfOEBAAC6AwAA&#10;DgAAAAAAAAABACAAAAAiAQAAZHJzL2Uyb0RvYy54bWxQSwUGAAAAAAYABgBZAQAAdQUAAAAA&#10;">
              <v:fill on="f" focussize="0,0"/>
              <v:stroke on="f" weight="1.25pt"/>
              <v:imagedata o:title=""/>
              <o:lock v:ext="edit" aspectratio="f"/>
              <v:textbox inset="0mm,0mm,0mm,0mm" style="mso-fit-shape-to-text:t;">
                <w:txbxContent>
                  <w:p>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ind w:firstLine="120" w:firstLineChars="50"/>
                            <w:rPr>
                              <w:rStyle w:val="10"/>
                              <w:rFonts w:hint="eastAsia"/>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8</w:t>
                          </w:r>
                          <w:r>
                            <w:rPr>
                              <w:sz w:val="24"/>
                              <w:szCs w:val="24"/>
                            </w:rPr>
                            <w:fldChar w:fldCharType="end"/>
                          </w:r>
                          <w:r>
                            <w:rPr>
                              <w:rStyle w:val="10"/>
                              <w:rFonts w:hint="eastAsia"/>
                              <w:sz w:val="24"/>
                              <w:szCs w:val="24"/>
                            </w:rPr>
                            <w:t xml:space="preserve"> —</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Dkb9wBAAC+AwAADgAAAGRycy9lMm9Eb2MueG1srVPNjtMwEL4j8Q6W&#10;7zRpJ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5yDkb9wBAAC+AwAADgAAAAAAAAAB&#10;ACAAAAAeAQAAZHJzL2Uyb0RvYy54bWxQSwUGAAAAAAYABgBZAQAAbAUAAAAA&#10;">
              <v:fill on="f" focussize="0,0"/>
              <v:stroke on="f"/>
              <v:imagedata o:title=""/>
              <o:lock v:ext="edit" aspectratio="f"/>
              <v:textbox inset="0mm,0mm,0mm,0mm" style="mso-fit-shape-to-text:t;">
                <w:txbxContent>
                  <w:p>
                    <w:pPr>
                      <w:pStyle w:val="2"/>
                      <w:ind w:firstLine="120" w:firstLineChars="50"/>
                      <w:rPr>
                        <w:rStyle w:val="10"/>
                        <w:rFonts w:hint="eastAsia"/>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8</w:t>
                    </w:r>
                    <w:r>
                      <w:rPr>
                        <w:sz w:val="24"/>
                        <w:szCs w:val="24"/>
                      </w:rPr>
                      <w:fldChar w:fldCharType="end"/>
                    </w:r>
                    <w:r>
                      <w:rPr>
                        <w:rStyle w:val="10"/>
                        <w:rFonts w:hint="eastAsia"/>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10"/>
                            </w:rPr>
                          </w:pPr>
                          <w:r>
                            <w:fldChar w:fldCharType="begin"/>
                          </w:r>
                          <w:r>
                            <w:rPr>
                              <w:rStyle w:val="10"/>
                            </w:rPr>
                            <w:instrText xml:space="preserve">PAGE  </w:instrText>
                          </w:r>
                          <w:r>
                            <w:fldChar w:fldCharType="separate"/>
                          </w:r>
                          <w:r>
                            <w:fldChar w:fldCharType="end"/>
                          </w:r>
                        </w:p>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XwNiIuEBAAC6AwAA&#10;DgAAAAAAAAABACAAAAAiAQAAZHJzL2Uyb0RvYy54bWxQSwUGAAAAAAYABgBZAQAAdQUAAAAA&#10;">
              <v:fill on="f" focussize="0,0"/>
              <v:stroke on="f" weight="1.25pt"/>
              <v:imagedata o:title=""/>
              <o:lock v:ext="edit" aspectratio="f"/>
              <v:textbox inset="0mm,0mm,0mm,0mm" style="mso-fit-shape-to-text:t;">
                <w:txbxContent>
                  <w:p>
                    <w:pPr>
                      <w:pStyle w:val="2"/>
                      <w:rPr>
                        <w:rStyle w:val="10"/>
                      </w:rPr>
                    </w:pPr>
                    <w:r>
                      <w:fldChar w:fldCharType="begin"/>
                    </w:r>
                    <w:r>
                      <w:rPr>
                        <w:rStyle w:val="10"/>
                      </w:rPr>
                      <w:instrText xml:space="preserve">PAGE  </w:instrText>
                    </w:r>
                    <w:r>
                      <w:fldChar w:fldCharType="separate"/>
                    </w:r>
                    <w:r>
                      <w:fldChar w:fldCharType="end"/>
                    </w:r>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right="420" w:rightChars="200"/>
      <w:jc w:val="right"/>
      <w:textAlignment w:val="auto"/>
      <w:outlineLvl w:val="9"/>
      <w:rPr>
        <w:rFonts w:hint="eastAsia"/>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snapToGrid w:val="0"/>
                            <w:ind w:right="420" w:rightChars="200"/>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zh-CN" w:eastAsia="zh-CN"/>
                            </w:rPr>
                            <w:t>3</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KcCOZ4AEAALsDAAAO&#10;AAAAAAAAAAEAIAAAACIBAABkcnMvZTJvRG9jLnhtbFBLBQYAAAAABgAGAFkBAAB0BQAAAAA=&#10;">
              <v:fill on="f" focussize="0,0"/>
              <v:stroke on="f" weight="1.25pt"/>
              <v:imagedata o:title=""/>
              <o:lock v:ext="edit" aspectratio="f"/>
              <v:textbox inset="0mm,0mm,0mm,0mm" style="mso-fit-shape-to-text:t;">
                <w:txbxContent>
                  <w:p>
                    <w:pPr>
                      <w:pStyle w:val="2"/>
                      <w:snapToGrid w:val="0"/>
                      <w:ind w:right="420" w:rightChars="200"/>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zh-CN" w:eastAsia="zh-CN"/>
                      </w:rPr>
                      <w:t>3</w:t>
                    </w:r>
                    <w:r>
                      <w:rPr>
                        <w:rFonts w:ascii="Times New Roman" w:hAnsi="Times New Roman"/>
                        <w:sz w:val="28"/>
                        <w:szCs w:val="28"/>
                      </w:rPr>
                      <w:fldChar w:fldCharType="end"/>
                    </w:r>
                    <w:r>
                      <w:rPr>
                        <w:rFonts w:hint="eastAsia" w:ascii="Times New Roman" w:hAnsi="Times New Roman"/>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306"/>
      </w:tabs>
      <w:kinsoku/>
      <w:wordWrap/>
      <w:overflowPunct/>
      <w:topLinePunct w:val="0"/>
      <w:autoSpaceDE/>
      <w:autoSpaceDN/>
      <w:bidi w:val="0"/>
      <w:adjustRightInd/>
      <w:snapToGrid w:val="0"/>
      <w:ind w:left="420" w:leftChars="200"/>
      <w:textAlignment w:val="auto"/>
      <w:outlineLvl w:val="9"/>
      <w:rPr>
        <w:rFonts w:hint="eastAsia" w:ascii="Times New Roman" w:hAnsi="Times New Roman"/>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ind w:left="420" w:leftChars="200"/>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zh-CN" w:eastAsia="zh-CN"/>
                            </w:rPr>
                            <w:t>2</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7O/0vOEBAAC8AwAA&#10;DgAAAAAAAAABACAAAAAiAQAAZHJzL2Uyb0RvYy54bWxQSwUGAAAAAAYABgBZAQAAdQUAAAAA&#10;">
              <v:fill on="f" focussize="0,0"/>
              <v:stroke on="f" weight="1.25pt"/>
              <v:imagedata o:title=""/>
              <o:lock v:ext="edit" aspectratio="f"/>
              <v:textbox inset="0mm,0mm,0mm,0mm" style="mso-fit-shape-to-text:t;">
                <w:txbxContent>
                  <w:p>
                    <w:pPr>
                      <w:tabs>
                        <w:tab w:val="center" w:pos="4153"/>
                        <w:tab w:val="right" w:pos="8306"/>
                      </w:tabs>
                      <w:snapToGrid w:val="0"/>
                      <w:ind w:left="420" w:leftChars="200"/>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zh-CN" w:eastAsia="zh-CN"/>
                      </w:rPr>
                      <w:t>2</w:t>
                    </w:r>
                    <w:r>
                      <w:rPr>
                        <w:rFonts w:ascii="Times New Roman" w:hAnsi="Times New Roman"/>
                        <w:sz w:val="28"/>
                        <w:szCs w:val="28"/>
                      </w:rPr>
                      <w:fldChar w:fldCharType="end"/>
                    </w:r>
                    <w:r>
                      <w:rPr>
                        <w:rFonts w:hint="eastAsia"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4"/>
      <w:numFmt w:val="chineseCounting"/>
      <w:suff w:val="space"/>
      <w:lvlText w:val="第%1条"/>
      <w:lvlJc w:val="left"/>
      <w:rPr>
        <w:b/>
      </w:rPr>
    </w:lvl>
  </w:abstractNum>
  <w:abstractNum w:abstractNumId="1">
    <w:nsid w:val="00000009"/>
    <w:multiLevelType w:val="singleLevel"/>
    <w:tmpl w:val="00000009"/>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98"/>
  <w:drawingGridVerticalSpacing w:val="284"/>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3.4.6:7001/defaultroot/public/gold2015/Document/1557127529239.doc"/>
  </w:docVars>
  <w:rsids>
    <w:rsidRoot w:val="4AD34D5D"/>
    <w:rsid w:val="00097250"/>
    <w:rsid w:val="0018329B"/>
    <w:rsid w:val="0020054B"/>
    <w:rsid w:val="002471D2"/>
    <w:rsid w:val="002538C9"/>
    <w:rsid w:val="00291D73"/>
    <w:rsid w:val="002F60D9"/>
    <w:rsid w:val="00310778"/>
    <w:rsid w:val="003562AC"/>
    <w:rsid w:val="004B5AF7"/>
    <w:rsid w:val="004B6DC0"/>
    <w:rsid w:val="004D20B7"/>
    <w:rsid w:val="00521E30"/>
    <w:rsid w:val="00542A4C"/>
    <w:rsid w:val="0054549D"/>
    <w:rsid w:val="005A74C4"/>
    <w:rsid w:val="00633E3E"/>
    <w:rsid w:val="006B57D1"/>
    <w:rsid w:val="006E7BC8"/>
    <w:rsid w:val="00714306"/>
    <w:rsid w:val="00717EDD"/>
    <w:rsid w:val="0073256D"/>
    <w:rsid w:val="00751637"/>
    <w:rsid w:val="00771BF5"/>
    <w:rsid w:val="007D1BF2"/>
    <w:rsid w:val="008C5772"/>
    <w:rsid w:val="009236E2"/>
    <w:rsid w:val="009408BA"/>
    <w:rsid w:val="00953469"/>
    <w:rsid w:val="009D2BDA"/>
    <w:rsid w:val="00A02091"/>
    <w:rsid w:val="00A24F5E"/>
    <w:rsid w:val="00A57282"/>
    <w:rsid w:val="00B13E14"/>
    <w:rsid w:val="00B30B4E"/>
    <w:rsid w:val="00B46FCE"/>
    <w:rsid w:val="00BA5E11"/>
    <w:rsid w:val="00BB6683"/>
    <w:rsid w:val="00CD488F"/>
    <w:rsid w:val="00CE1E07"/>
    <w:rsid w:val="00D60295"/>
    <w:rsid w:val="00D71D77"/>
    <w:rsid w:val="00DB34EC"/>
    <w:rsid w:val="00E516FC"/>
    <w:rsid w:val="00F22F4B"/>
    <w:rsid w:val="00F379FC"/>
    <w:rsid w:val="038A4555"/>
    <w:rsid w:val="042C2C5A"/>
    <w:rsid w:val="04D1406C"/>
    <w:rsid w:val="07CF5D39"/>
    <w:rsid w:val="0ABE7889"/>
    <w:rsid w:val="0B2F73A4"/>
    <w:rsid w:val="0DD135F6"/>
    <w:rsid w:val="10B214CE"/>
    <w:rsid w:val="20B16B31"/>
    <w:rsid w:val="22BB01CB"/>
    <w:rsid w:val="23EE3F9E"/>
    <w:rsid w:val="252B5D11"/>
    <w:rsid w:val="29357B8F"/>
    <w:rsid w:val="350B04F8"/>
    <w:rsid w:val="35DE2BD9"/>
    <w:rsid w:val="37C41886"/>
    <w:rsid w:val="3C2D1526"/>
    <w:rsid w:val="3F544A0F"/>
    <w:rsid w:val="415B2123"/>
    <w:rsid w:val="41A41EAE"/>
    <w:rsid w:val="4263717C"/>
    <w:rsid w:val="45502461"/>
    <w:rsid w:val="4769345C"/>
    <w:rsid w:val="49922C7F"/>
    <w:rsid w:val="4AD34D5D"/>
    <w:rsid w:val="4AF51B9E"/>
    <w:rsid w:val="4F111ED4"/>
    <w:rsid w:val="53B356C8"/>
    <w:rsid w:val="54273188"/>
    <w:rsid w:val="56DE36EC"/>
    <w:rsid w:val="57A54311"/>
    <w:rsid w:val="5DF87EF9"/>
    <w:rsid w:val="64513D3B"/>
    <w:rsid w:val="67835607"/>
    <w:rsid w:val="67AA5472"/>
    <w:rsid w:val="6B3C6B5D"/>
    <w:rsid w:val="6B615784"/>
    <w:rsid w:val="6BCB1463"/>
    <w:rsid w:val="73982D56"/>
    <w:rsid w:val="73CB1E8A"/>
    <w:rsid w:val="78555A1F"/>
    <w:rsid w:val="7A532DAE"/>
    <w:rsid w:val="7EB5232D"/>
    <w:rsid w:val="7F7E40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uiPriority w:val="99"/>
    <w:rPr>
      <w:rFonts w:ascii="Times New Roman" w:hAnsi="Times New Roman" w:eastAsia="宋体" w:cs="Times New Roman"/>
    </w:rPr>
  </w:style>
  <w:style w:type="paragraph" w:customStyle="1" w:styleId="7">
    <w:name w:val="正文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character" w:customStyle="1" w:styleId="10">
    <w:name w:val="page number"/>
    <w:basedOn w:val="5"/>
    <w:qFormat/>
    <w:uiPriority w:val="0"/>
    <w:rPr>
      <w:rFonts w:ascii="Times New Roman" w:hAnsi="Times New Roman" w:eastAsia="宋体" w:cs="Times New Roman"/>
    </w:rPr>
  </w:style>
  <w:style w:type="character" w:customStyle="1" w:styleId="11">
    <w:name w:val="页眉 Char"/>
    <w:link w:val="3"/>
    <w:uiPriority w:val="99"/>
    <w:rPr>
      <w:kern w:val="2"/>
      <w:sz w:val="18"/>
      <w:szCs w:val="18"/>
    </w:rPr>
  </w:style>
  <w:style w:type="character" w:customStyle="1" w:styleId="12">
    <w:name w:val="页脚 Char"/>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GIF"/><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23</Words>
  <Characters>132</Characters>
  <Lines>1</Lines>
  <Paragraphs>1</Paragraphs>
  <TotalTime>147</TotalTime>
  <ScaleCrop>false</ScaleCrop>
  <LinksUpToDate>false</LinksUpToDate>
  <CharactersWithSpaces>154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2019-01-17T10:12:00Z</dcterms:created>
  <dc:creator>dddddd</dc:creator>
  <cp:lastModifiedBy>于颖</cp:lastModifiedBy>
  <dcterms:modified xsi:type="dcterms:W3CDTF">2023-04-06T05:42:47Z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